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26" w:rsidRPr="00145E2F" w:rsidRDefault="00BB0257" w:rsidP="00145E2F">
      <w:pPr>
        <w:pStyle w:val="NoSpacing"/>
        <w:jc w:val="center"/>
        <w:rPr>
          <w:rFonts w:ascii="Sylfaen" w:hAnsi="Sylfaen"/>
          <w:b/>
          <w:sz w:val="22"/>
          <w:szCs w:val="20"/>
          <w:lang w:val="ka-GE"/>
        </w:rPr>
      </w:pPr>
      <w:bookmarkStart w:id="0" w:name="_GoBack"/>
      <w:bookmarkEnd w:id="0"/>
      <w:r w:rsidRPr="00BB0257">
        <w:rPr>
          <w:rFonts w:ascii="Sylfaen" w:hAnsi="Sylfaen"/>
          <w:b/>
          <w:sz w:val="22"/>
          <w:szCs w:val="20"/>
          <w:lang w:val="ka-GE"/>
        </w:rPr>
        <w:t xml:space="preserve">შეთანხმების ფურცელი </w:t>
      </w:r>
      <w:r w:rsidR="00145E2F">
        <w:rPr>
          <w:rFonts w:ascii="Sylfaen" w:hAnsi="Sylfaen"/>
          <w:b/>
          <w:sz w:val="22"/>
          <w:szCs w:val="20"/>
          <w:lang w:val="ka-GE"/>
        </w:rPr>
        <w:t>„</w:t>
      </w:r>
      <w:r w:rsidR="00145E2F" w:rsidRPr="00145E2F">
        <w:rPr>
          <w:rFonts w:ascii="Sylfaen" w:hAnsi="Sylfaen"/>
          <w:b/>
          <w:sz w:val="22"/>
          <w:szCs w:val="20"/>
          <w:lang w:val="ka-GE"/>
        </w:rPr>
        <w:t>საქართველოს გადამცემი ქსელის განვითარების ათწლიან გეგმ</w:t>
      </w:r>
      <w:r w:rsidR="00145E2F">
        <w:rPr>
          <w:rFonts w:ascii="Sylfaen" w:hAnsi="Sylfaen"/>
          <w:b/>
          <w:sz w:val="22"/>
          <w:szCs w:val="20"/>
          <w:lang w:val="ka-GE"/>
        </w:rPr>
        <w:t>ის</w:t>
      </w:r>
      <w:r w:rsidR="007D068D">
        <w:rPr>
          <w:rFonts w:ascii="Sylfaen" w:hAnsi="Sylfaen"/>
          <w:b/>
          <w:sz w:val="22"/>
          <w:szCs w:val="20"/>
          <w:lang w:val="ka-GE"/>
        </w:rPr>
        <w:t xml:space="preserve"> (2020–2030</w:t>
      </w:r>
      <w:r w:rsidR="00145E2F" w:rsidRPr="00145E2F">
        <w:rPr>
          <w:rFonts w:ascii="Sylfaen" w:hAnsi="Sylfaen"/>
          <w:b/>
          <w:sz w:val="22"/>
          <w:szCs w:val="20"/>
          <w:lang w:val="ka-GE"/>
        </w:rPr>
        <w:t xml:space="preserve"> წ.წ.)” </w:t>
      </w:r>
      <w:r w:rsidRPr="00BB0257">
        <w:rPr>
          <w:rFonts w:ascii="Sylfaen" w:hAnsi="Sylfaen"/>
          <w:b/>
          <w:sz w:val="22"/>
          <w:szCs w:val="20"/>
          <w:lang w:val="ka-GE"/>
        </w:rPr>
        <w:t xml:space="preserve"> პროექტთან დაკავშირებით</w:t>
      </w:r>
    </w:p>
    <w:p w:rsidR="00C83726" w:rsidRPr="00C83726" w:rsidRDefault="00C83726" w:rsidP="006E1030">
      <w:pPr>
        <w:pStyle w:val="NoSpacing"/>
        <w:spacing w:line="276" w:lineRule="auto"/>
        <w:jc w:val="center"/>
        <w:rPr>
          <w:rFonts w:ascii="Sylfaen" w:hAnsi="Sylfaen"/>
          <w:sz w:val="22"/>
          <w:szCs w:val="20"/>
          <w:lang w:val="ka-GE"/>
        </w:rPr>
      </w:pPr>
    </w:p>
    <w:tbl>
      <w:tblPr>
        <w:tblStyle w:val="TableGrid"/>
        <w:tblW w:w="11340" w:type="dxa"/>
        <w:tblInd w:w="-905" w:type="dxa"/>
        <w:tblLayout w:type="fixed"/>
        <w:tblLook w:val="04A0" w:firstRow="1" w:lastRow="0" w:firstColumn="1" w:lastColumn="0" w:noHBand="0" w:noVBand="1"/>
      </w:tblPr>
      <w:tblGrid>
        <w:gridCol w:w="1800"/>
        <w:gridCol w:w="5220"/>
        <w:gridCol w:w="4320"/>
      </w:tblGrid>
      <w:tr w:rsidR="004566FD" w:rsidRPr="004566FD" w:rsidTr="00D45CFB">
        <w:trPr>
          <w:trHeight w:val="492"/>
          <w:tblHeader/>
        </w:trPr>
        <w:tc>
          <w:tcPr>
            <w:tcW w:w="1800" w:type="dxa"/>
            <w:tcBorders>
              <w:top w:val="single" w:sz="4" w:space="0" w:color="auto"/>
              <w:left w:val="single" w:sz="4" w:space="0" w:color="auto"/>
              <w:bottom w:val="single" w:sz="4" w:space="0" w:color="auto"/>
              <w:right w:val="single" w:sz="4" w:space="0" w:color="auto"/>
            </w:tcBorders>
            <w:hideMark/>
          </w:tcPr>
          <w:p w:rsidR="00BA2F8E" w:rsidRPr="004566FD" w:rsidRDefault="00BA2F8E" w:rsidP="00D45CFB">
            <w:pPr>
              <w:spacing w:after="0" w:line="240" w:lineRule="auto"/>
              <w:jc w:val="center"/>
              <w:rPr>
                <w:rFonts w:ascii="Sylfaen" w:hAnsi="Sylfaen"/>
                <w:i/>
                <w:sz w:val="20"/>
                <w:szCs w:val="20"/>
                <w:lang w:val="ka-GE"/>
              </w:rPr>
            </w:pPr>
            <w:r w:rsidRPr="004566FD">
              <w:rPr>
                <w:rFonts w:ascii="Sylfaen" w:hAnsi="Sylfaen"/>
                <w:i/>
                <w:sz w:val="20"/>
                <w:szCs w:val="20"/>
                <w:lang w:val="ka-GE"/>
              </w:rPr>
              <w:t>დაწესებულება</w:t>
            </w:r>
          </w:p>
        </w:tc>
        <w:tc>
          <w:tcPr>
            <w:tcW w:w="5220" w:type="dxa"/>
            <w:tcBorders>
              <w:top w:val="single" w:sz="4" w:space="0" w:color="auto"/>
              <w:left w:val="single" w:sz="4" w:space="0" w:color="auto"/>
              <w:bottom w:val="single" w:sz="4" w:space="0" w:color="auto"/>
              <w:right w:val="single" w:sz="4" w:space="0" w:color="auto"/>
            </w:tcBorders>
            <w:hideMark/>
          </w:tcPr>
          <w:p w:rsidR="00BA2F8E" w:rsidRPr="004566FD" w:rsidRDefault="00BA2F8E" w:rsidP="00D45CFB">
            <w:pPr>
              <w:spacing w:after="0" w:line="240" w:lineRule="auto"/>
              <w:jc w:val="center"/>
              <w:rPr>
                <w:rFonts w:ascii="Sylfaen" w:hAnsi="Sylfaen"/>
                <w:i/>
                <w:sz w:val="20"/>
                <w:szCs w:val="20"/>
                <w:lang w:val="ka-GE"/>
              </w:rPr>
            </w:pPr>
            <w:r w:rsidRPr="004566FD">
              <w:rPr>
                <w:rFonts w:ascii="Sylfaen" w:hAnsi="Sylfaen"/>
                <w:i/>
                <w:sz w:val="20"/>
                <w:szCs w:val="20"/>
                <w:lang w:val="ka-GE"/>
              </w:rPr>
              <w:t>შენიშვნა/წინადადება</w:t>
            </w:r>
          </w:p>
        </w:tc>
        <w:tc>
          <w:tcPr>
            <w:tcW w:w="4320" w:type="dxa"/>
            <w:tcBorders>
              <w:top w:val="single" w:sz="4" w:space="0" w:color="auto"/>
              <w:left w:val="single" w:sz="4" w:space="0" w:color="auto"/>
              <w:bottom w:val="single" w:sz="4" w:space="0" w:color="auto"/>
              <w:right w:val="single" w:sz="4" w:space="0" w:color="auto"/>
            </w:tcBorders>
            <w:hideMark/>
          </w:tcPr>
          <w:p w:rsidR="00BA2F8E" w:rsidRPr="004566FD" w:rsidRDefault="00BA2F8E" w:rsidP="00D45CFB">
            <w:pPr>
              <w:spacing w:after="0" w:line="240" w:lineRule="auto"/>
              <w:ind w:left="9" w:hanging="9"/>
              <w:jc w:val="center"/>
              <w:rPr>
                <w:rFonts w:ascii="Sylfaen" w:hAnsi="Sylfaen"/>
                <w:i/>
                <w:sz w:val="20"/>
                <w:szCs w:val="20"/>
                <w:lang w:val="ka-GE"/>
              </w:rPr>
            </w:pPr>
            <w:r w:rsidRPr="004566FD">
              <w:rPr>
                <w:rFonts w:ascii="Sylfaen" w:hAnsi="Sylfaen"/>
                <w:i/>
                <w:sz w:val="20"/>
                <w:szCs w:val="20"/>
                <w:lang w:val="ka-GE"/>
              </w:rPr>
              <w:t>პასუხი/გათვალისწინების მდგომარეობა</w:t>
            </w:r>
          </w:p>
        </w:tc>
      </w:tr>
      <w:tr w:rsidR="004566FD" w:rsidRPr="004566FD" w:rsidTr="00D45CFB">
        <w:trPr>
          <w:trHeight w:val="374"/>
        </w:trPr>
        <w:tc>
          <w:tcPr>
            <w:tcW w:w="1800" w:type="dxa"/>
            <w:vMerge w:val="restart"/>
            <w:tcBorders>
              <w:top w:val="single" w:sz="4" w:space="0" w:color="auto"/>
              <w:left w:val="single" w:sz="4" w:space="0" w:color="auto"/>
              <w:right w:val="single" w:sz="4" w:space="0" w:color="auto"/>
            </w:tcBorders>
            <w:vAlign w:val="center"/>
          </w:tcPr>
          <w:p w:rsidR="00D45CFB" w:rsidRPr="004566FD" w:rsidRDefault="00D45CFB" w:rsidP="00D45CFB">
            <w:pPr>
              <w:spacing w:after="0" w:line="240" w:lineRule="auto"/>
              <w:jc w:val="center"/>
              <w:rPr>
                <w:rFonts w:ascii="Sylfaen" w:hAnsi="Sylfaen"/>
                <w:sz w:val="20"/>
                <w:szCs w:val="20"/>
                <w:lang w:val="ka-GE"/>
              </w:rPr>
            </w:pPr>
            <w:r w:rsidRPr="004566FD">
              <w:rPr>
                <w:rFonts w:ascii="Sylfaen" w:hAnsi="Sylfaen"/>
                <w:sz w:val="20"/>
                <w:szCs w:val="20"/>
                <w:lang w:val="ka-GE"/>
              </w:rPr>
              <w:t>სემეკი</w:t>
            </w:r>
          </w:p>
        </w:tc>
        <w:tc>
          <w:tcPr>
            <w:tcW w:w="5220" w:type="dxa"/>
            <w:tcBorders>
              <w:top w:val="single" w:sz="4" w:space="0" w:color="auto"/>
              <w:left w:val="single" w:sz="4" w:space="0" w:color="auto"/>
              <w:bottom w:val="single" w:sz="4" w:space="0" w:color="auto"/>
              <w:right w:val="single" w:sz="4" w:space="0" w:color="auto"/>
            </w:tcBorders>
          </w:tcPr>
          <w:p w:rsidR="00D45CFB" w:rsidRPr="007D068D" w:rsidRDefault="007D068D" w:rsidP="007D068D">
            <w:pPr>
              <w:spacing w:after="0" w:line="240" w:lineRule="auto"/>
              <w:rPr>
                <w:rFonts w:ascii="Sylfaen" w:hAnsi="Sylfaen"/>
                <w:sz w:val="20"/>
                <w:szCs w:val="20"/>
                <w:lang w:val="ka-GE"/>
              </w:rPr>
            </w:pPr>
            <w:r>
              <w:rPr>
                <w:rFonts w:ascii="Sylfaen" w:hAnsi="Sylfaen"/>
                <w:sz w:val="20"/>
                <w:szCs w:val="20"/>
              </w:rPr>
              <w:t xml:space="preserve">1. </w:t>
            </w:r>
            <w:r w:rsidRPr="007D068D">
              <w:rPr>
                <w:rFonts w:ascii="Sylfaen" w:hAnsi="Sylfaen"/>
                <w:sz w:val="20"/>
                <w:szCs w:val="20"/>
                <w:lang w:val="ka-GE"/>
              </w:rPr>
              <w:t>პარაგრაფში 1.7 „გენერაციის ადეკვატურობა“ წარმოდგენილი ტექსტი და ფორმულებში შემავალი წევრების განმარტება ნათლად არ იძლევა სისტემაში გენერაციის ადეკვატურობის სრულფასოვნად შეფასების შესაძლებლობას. ასევე, ცხადად არ იკვეთება თუ როგორ არის ამ კვლევის შედეგები გამოყენებული გენერაციის სექტორში ეკონომიკურად დასაბუთებული პროექტების განსაზღვრის</w:t>
            </w:r>
          </w:p>
        </w:tc>
        <w:tc>
          <w:tcPr>
            <w:tcW w:w="4320" w:type="dxa"/>
            <w:tcBorders>
              <w:top w:val="single" w:sz="4" w:space="0" w:color="auto"/>
              <w:left w:val="single" w:sz="4" w:space="0" w:color="auto"/>
              <w:bottom w:val="single" w:sz="4" w:space="0" w:color="auto"/>
              <w:right w:val="single" w:sz="4" w:space="0" w:color="auto"/>
            </w:tcBorders>
          </w:tcPr>
          <w:p w:rsidR="007D068D" w:rsidRDefault="007D068D" w:rsidP="007D068D">
            <w:pPr>
              <w:spacing w:after="0" w:line="240" w:lineRule="auto"/>
              <w:ind w:left="9" w:hanging="9"/>
              <w:rPr>
                <w:rFonts w:ascii="Sylfaen" w:hAnsi="Sylfaen"/>
                <w:sz w:val="20"/>
                <w:szCs w:val="20"/>
                <w:lang w:val="ka-GE"/>
              </w:rPr>
            </w:pPr>
            <w:r>
              <w:rPr>
                <w:rFonts w:ascii="Sylfaen" w:hAnsi="Sylfaen"/>
                <w:sz w:val="20"/>
                <w:szCs w:val="20"/>
                <w:lang w:val="ka-GE"/>
              </w:rPr>
              <w:t>1</w:t>
            </w:r>
            <w:r w:rsidRPr="007D068D">
              <w:rPr>
                <w:rFonts w:ascii="Sylfaen" w:hAnsi="Sylfaen"/>
                <w:sz w:val="20"/>
                <w:szCs w:val="20"/>
                <w:lang w:val="ka-GE"/>
              </w:rPr>
              <w:t xml:space="preserve">. </w:t>
            </w:r>
            <w:r w:rsidR="002F59EE" w:rsidRPr="00E0534E">
              <w:rPr>
                <w:rFonts w:ascii="Sylfaen" w:hAnsi="Sylfaen"/>
                <w:sz w:val="20"/>
                <w:szCs w:val="20"/>
                <w:lang w:val="ka-GE"/>
              </w:rPr>
              <w:t xml:space="preserve">გენერაციის ადეკვატურობის მაჩვენებლების საანგარიშო ფორმულებში შემავალი ცვლადების განმარტება დაკორექტირდა. </w:t>
            </w:r>
            <w:r w:rsidRPr="007D068D">
              <w:rPr>
                <w:rFonts w:ascii="Sylfaen" w:hAnsi="Sylfaen"/>
                <w:sz w:val="20"/>
                <w:szCs w:val="20"/>
                <w:lang w:val="ka-GE"/>
              </w:rPr>
              <w:t xml:space="preserve">გენერაციის ადეკვატურობის მაჩვენებლები (LOLP, EDNS, LOLE) და მათი გამოთვლის მეთოდები არის სტანდარტული ნებისმიერი ენერგოსისტემის გენერაციის ადეკვატურობის შეფასებისთვის, იხილეთ ბმული უცხოური რესურსებიდან, რომელიც მოიცავს ამ მაჩვენებლების გაანგარიშების ფორმულებს: </w:t>
            </w:r>
            <w:hyperlink r:id="rId8" w:history="1">
              <w:r w:rsidRPr="002739C1">
                <w:rPr>
                  <w:rStyle w:val="Hyperlink"/>
                  <w:rFonts w:ascii="Sylfaen" w:hAnsi="Sylfaen"/>
                  <w:sz w:val="20"/>
                  <w:szCs w:val="20"/>
                  <w:lang w:val="ka-GE"/>
                </w:rPr>
                <w:t>https://arxiv.org/ftp/arxiv/papers/1206/1206.6808.pdf</w:t>
              </w:r>
            </w:hyperlink>
          </w:p>
          <w:p w:rsidR="007D068D" w:rsidRPr="007D068D" w:rsidRDefault="007D068D" w:rsidP="002F59EE">
            <w:pPr>
              <w:spacing w:after="0" w:line="240" w:lineRule="auto"/>
              <w:rPr>
                <w:rFonts w:ascii="Sylfaen" w:hAnsi="Sylfaen"/>
                <w:sz w:val="20"/>
                <w:szCs w:val="20"/>
                <w:lang w:val="ka-GE"/>
              </w:rPr>
            </w:pPr>
          </w:p>
          <w:p w:rsidR="007D068D" w:rsidRPr="007D068D" w:rsidRDefault="007D068D" w:rsidP="007D068D">
            <w:pPr>
              <w:spacing w:after="0" w:line="240" w:lineRule="auto"/>
              <w:rPr>
                <w:rFonts w:ascii="Sylfaen" w:hAnsi="Sylfaen"/>
                <w:sz w:val="20"/>
                <w:szCs w:val="20"/>
                <w:lang w:val="ka-GE"/>
              </w:rPr>
            </w:pPr>
            <w:r w:rsidRPr="007D068D">
              <w:rPr>
                <w:rFonts w:ascii="Sylfaen" w:hAnsi="Sylfaen"/>
                <w:sz w:val="20"/>
                <w:szCs w:val="20"/>
                <w:lang w:val="ka-GE"/>
              </w:rPr>
              <w:t>გენერაციის ადეკვატურობის მაჩვენებელი ხსენებული სიდიდეები წარმოადგენს სისტემის უსაფრთხოების შეფასების მაჩვენებლებს, რაც ათწლიან გეგმაში მოცემულია წლების მიხედვით (2020-2030 წწ). ხსენებული ადეკვატურობის მაჩვენებლების გაანგარიშების დანიშნულებას არ წარმოადგენს გენერაციის სექტორში არსებული პროექტების ეკონომიკური დასაბუთება.</w:t>
            </w:r>
          </w:p>
          <w:p w:rsidR="00D45CFB" w:rsidRPr="004566FD" w:rsidRDefault="00D44918" w:rsidP="007D068D">
            <w:pPr>
              <w:spacing w:after="0" w:line="240" w:lineRule="auto"/>
              <w:ind w:left="9" w:hanging="9"/>
              <w:rPr>
                <w:rFonts w:ascii="Sylfaen" w:hAnsi="Sylfaen"/>
                <w:sz w:val="20"/>
                <w:szCs w:val="20"/>
                <w:lang w:val="ka-GE"/>
              </w:rPr>
            </w:pPr>
            <w:r w:rsidRPr="00984899">
              <w:rPr>
                <w:rFonts w:ascii="Sylfaen" w:hAnsi="Sylfaen"/>
                <w:color w:val="000000" w:themeColor="text1"/>
                <w:sz w:val="20"/>
                <w:szCs w:val="20"/>
                <w:lang w:val="ka-GE"/>
              </w:rPr>
              <w:t xml:space="preserve">ამასთან, </w:t>
            </w:r>
            <w:r w:rsidR="007D068D" w:rsidRPr="00984899">
              <w:rPr>
                <w:rFonts w:ascii="Sylfaen" w:hAnsi="Sylfaen"/>
                <w:color w:val="000000" w:themeColor="text1"/>
                <w:sz w:val="20"/>
                <w:szCs w:val="20"/>
                <w:lang w:val="ka-GE"/>
              </w:rPr>
              <w:t xml:space="preserve">საქართველოს </w:t>
            </w:r>
            <w:r w:rsidR="007D068D" w:rsidRPr="007D068D">
              <w:rPr>
                <w:rFonts w:ascii="Sylfaen" w:hAnsi="Sylfaen"/>
                <w:sz w:val="20"/>
                <w:szCs w:val="20"/>
                <w:lang w:val="ka-GE"/>
              </w:rPr>
              <w:t>ენერგოსისტემისთვის ადეკვატურობის მისაღები პარამეტრების (დონე) დადგენის თაობაზე საქართველოს სახელმწიფო ელექტროსისტემა, ეკონომიკისა და მდგრადი განვითარების სამინისტროს და სემეკის მხარდაჭერით, „გენერაციის განვითარების პროექტის ფარგლებში“ მუშაობს ფრანგულ კომპანია EDF-თან ერთად. გენერაციის ადეკვატურობის ხსენებული პარამეტრები გვექნება პროექტის დასრულების შემდეგ. აღნიშნული კვლევის ფარგლებში ასევე მოხდება გენერაციის სექტორში არსებული პროექტების ეკონომიკური მიზანშეწონილობის დასაბუთება.</w:t>
            </w:r>
          </w:p>
        </w:tc>
      </w:tr>
      <w:tr w:rsidR="004566FD" w:rsidRPr="004566FD" w:rsidTr="00A96C94">
        <w:trPr>
          <w:trHeight w:val="1403"/>
        </w:trPr>
        <w:tc>
          <w:tcPr>
            <w:tcW w:w="1800" w:type="dxa"/>
            <w:vMerge/>
            <w:tcBorders>
              <w:left w:val="single" w:sz="4" w:space="0" w:color="auto"/>
              <w:right w:val="single" w:sz="4" w:space="0" w:color="auto"/>
            </w:tcBorders>
          </w:tcPr>
          <w:p w:rsidR="00D45CFB" w:rsidRPr="004566FD" w:rsidRDefault="00D45CFB"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D45CFB" w:rsidRPr="004566FD" w:rsidRDefault="00AB04C5" w:rsidP="00D45CFB">
            <w:pPr>
              <w:spacing w:after="0" w:line="240" w:lineRule="auto"/>
              <w:rPr>
                <w:rFonts w:ascii="Sylfaen" w:hAnsi="Sylfaen"/>
                <w:sz w:val="20"/>
                <w:szCs w:val="20"/>
                <w:lang w:val="ka-GE"/>
              </w:rPr>
            </w:pPr>
            <w:r>
              <w:rPr>
                <w:rFonts w:ascii="Sylfaen" w:hAnsi="Sylfaen"/>
                <w:sz w:val="20"/>
                <w:szCs w:val="20"/>
              </w:rPr>
              <w:t xml:space="preserve">2. </w:t>
            </w:r>
            <w:r w:rsidRPr="00AB04C5">
              <w:rPr>
                <w:rFonts w:ascii="Sylfaen" w:hAnsi="Sylfaen"/>
                <w:sz w:val="20"/>
                <w:szCs w:val="20"/>
                <w:lang w:val="ka-GE"/>
              </w:rPr>
              <w:t>პარაგრაფში 1.8 „გამოვლენილი პროექტები და ინფრასტრუქტურის გასაძლიერებლად საჭირო ინვესტიციები“ CBA მეთოდოლოგიით შეფასების თანახმად გამოვლენილ ყველაზე მაღალი რეიტინგის პროექტებზე („ჯვარი-¬წყალტუბო-ახალციხე“ და „ქსანი-სტეფანწმინდა-მოზდოკი“) წარმოდგენილი მონაცემები განსხვავებულია წინა წლებით წარმოდგენილ ამავე პროექტების მონაცემებისგან, რაც სათანადო დასაბუთებას მოითხოვს;</w:t>
            </w:r>
          </w:p>
        </w:tc>
        <w:tc>
          <w:tcPr>
            <w:tcW w:w="4320" w:type="dxa"/>
            <w:tcBorders>
              <w:top w:val="single" w:sz="4" w:space="0" w:color="auto"/>
              <w:left w:val="single" w:sz="4" w:space="0" w:color="auto"/>
              <w:bottom w:val="single" w:sz="4" w:space="0" w:color="auto"/>
              <w:right w:val="single" w:sz="4" w:space="0" w:color="auto"/>
            </w:tcBorders>
          </w:tcPr>
          <w:p w:rsidR="00D45CFB" w:rsidRPr="004566FD" w:rsidRDefault="00AB04C5" w:rsidP="00BB3903">
            <w:pPr>
              <w:spacing w:after="0" w:line="240" w:lineRule="auto"/>
              <w:ind w:left="9" w:hanging="9"/>
              <w:rPr>
                <w:rFonts w:ascii="Sylfaen" w:hAnsi="Sylfaen"/>
                <w:sz w:val="20"/>
                <w:szCs w:val="20"/>
                <w:lang w:val="ka-GE"/>
              </w:rPr>
            </w:pPr>
            <w:r>
              <w:rPr>
                <w:rFonts w:ascii="Sylfaen" w:hAnsi="Sylfaen"/>
                <w:sz w:val="20"/>
                <w:szCs w:val="20"/>
              </w:rPr>
              <w:t xml:space="preserve">2. </w:t>
            </w:r>
            <w:r w:rsidRPr="00AB04C5">
              <w:rPr>
                <w:rFonts w:ascii="Sylfaen" w:hAnsi="Sylfaen"/>
                <w:sz w:val="20"/>
                <w:szCs w:val="20"/>
                <w:lang w:val="ka-GE"/>
              </w:rPr>
              <w:t>ათწლიან გეგმაში შემავალი პროექტების არაერთი მაჩვენებელი (ცხრილი 8.9), რომელიც წარმოადგენს ENTSO-E ათწლიანი გეგმის სტანდარტს, დროში ცვალებადია. ასეთებია მაგალითად კვების უსაფრთხოების ამაღლება, ინტეგრირებული სადგურების სიმძლავრე, ქსელში დანაკარგებზე ზეგავლენა, პროექტის საპროგნოზო ინვესტიცია, CO2-ის გამოყოფაზე ზეგავლენა, ქსელის გამტარუნარიანობის გაზრდა, სოციალურ-ეკონომიკური კეთილდღეობა და ა.შ. ამ ცვლილებების მიზეზს წარმოადგენს ცვლილებები პერსპექტიული სადგურების პარამეტრებში, ინფრასტრუქტურული პროექტების პარამეტრებში, გადამცემი ქსელის ხაზების ავარიული გამორთვების შედეგად მიუწოდებელი ენერგიის სტატისტიკაში, პროექტების საპროგნოზო ხარჯებში. ათწლიანი გეგმის 8.2 ქვეთავში (გვ. 174-175) მოცემულია CBA-ის თითოეული ინდიკატორის დამოკიდებულება გარეშე ტექნიკურ-ეკონომიკურ ფაქტორებზე. ამდენად, პროექტის რეალიზაციით განპირობებული სარგებელი (და შესაბამისად ქულობრივი შეფასებაც ცხრილი 8.10-ში მოცემული რანჟირების შესაბამისად) განიცდის გარკვეულ მოდიფიკაციას.</w:t>
            </w:r>
          </w:p>
        </w:tc>
      </w:tr>
      <w:tr w:rsidR="004566FD" w:rsidRPr="004566FD" w:rsidTr="00A96C94">
        <w:trPr>
          <w:trHeight w:val="909"/>
        </w:trPr>
        <w:tc>
          <w:tcPr>
            <w:tcW w:w="1800" w:type="dxa"/>
            <w:vMerge/>
            <w:tcBorders>
              <w:left w:val="single" w:sz="4" w:space="0" w:color="auto"/>
              <w:bottom w:val="single" w:sz="4" w:space="0" w:color="auto"/>
              <w:right w:val="single" w:sz="4" w:space="0" w:color="auto"/>
            </w:tcBorders>
          </w:tcPr>
          <w:p w:rsidR="00D45CFB" w:rsidRPr="004566FD" w:rsidRDefault="00D45CFB"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shd w:val="clear" w:color="auto" w:fill="auto"/>
          </w:tcPr>
          <w:p w:rsidR="00D45CFB" w:rsidRPr="004566FD" w:rsidRDefault="00AB04C5" w:rsidP="00D45CFB">
            <w:pPr>
              <w:pStyle w:val="ListParagraph"/>
              <w:spacing w:after="0" w:line="240" w:lineRule="auto"/>
              <w:ind w:left="0"/>
              <w:rPr>
                <w:rFonts w:ascii="Sylfaen" w:hAnsi="Sylfaen" w:cs="Sylfaen"/>
                <w:sz w:val="20"/>
                <w:szCs w:val="20"/>
                <w:lang w:val="ka-GE"/>
              </w:rPr>
            </w:pPr>
            <w:r>
              <w:rPr>
                <w:rFonts w:ascii="Sylfaen" w:hAnsi="Sylfaen" w:cs="Sylfaen"/>
                <w:sz w:val="20"/>
                <w:szCs w:val="20"/>
                <w:lang w:val="en-US"/>
              </w:rPr>
              <w:t xml:space="preserve">3. </w:t>
            </w:r>
            <w:r w:rsidRPr="00AB04C5">
              <w:rPr>
                <w:rFonts w:ascii="Sylfaen" w:hAnsi="Sylfaen" w:cs="Sylfaen"/>
                <w:sz w:val="20"/>
                <w:szCs w:val="20"/>
                <w:lang w:val="ka-GE"/>
              </w:rPr>
              <w:t>პარაგრაფი 2.4-ში „განსხვავება წინა 2019-2029 წლების ათწლიან გეგმასთან შედარებით“ მოცემულია ახალი პროექტი „110 კვ ეგხ ხუდონის გაძლიერება“, რომელზეც 2017 წელს განხორციელდა რეაბილიტაციის სამუშაოები, რაც ასახულია ტარიფში, შესაბამისად საჭიროა შეფასდეს აღნიშნული პროექტის განხორციელების აუცილებლობა. ასევე, საფუძველს მოკლებულად მიგვაჩნია ქ/ს ”მესტია 35-ის“ გადაცემის ქსელის ოპერატორის მიერ გაფართოება;</w:t>
            </w:r>
          </w:p>
        </w:tc>
        <w:tc>
          <w:tcPr>
            <w:tcW w:w="4320" w:type="dxa"/>
            <w:tcBorders>
              <w:top w:val="single" w:sz="4" w:space="0" w:color="auto"/>
              <w:left w:val="single" w:sz="4" w:space="0" w:color="auto"/>
              <w:bottom w:val="single" w:sz="4" w:space="0" w:color="auto"/>
              <w:right w:val="single" w:sz="4" w:space="0" w:color="auto"/>
            </w:tcBorders>
          </w:tcPr>
          <w:p w:rsidR="00D45CFB" w:rsidRPr="004566FD" w:rsidRDefault="00AB04C5" w:rsidP="00984899">
            <w:pPr>
              <w:spacing w:after="0" w:line="240" w:lineRule="auto"/>
              <w:ind w:left="9" w:hanging="9"/>
              <w:contextualSpacing/>
              <w:rPr>
                <w:rFonts w:ascii="Sylfaen" w:hAnsi="Sylfaen"/>
                <w:sz w:val="20"/>
                <w:szCs w:val="20"/>
              </w:rPr>
            </w:pPr>
            <w:r>
              <w:rPr>
                <w:rFonts w:ascii="Sylfaen" w:hAnsi="Sylfaen"/>
                <w:sz w:val="20"/>
                <w:szCs w:val="20"/>
              </w:rPr>
              <w:t xml:space="preserve">3. </w:t>
            </w:r>
            <w:r w:rsidR="002F59EE" w:rsidRPr="00E0534E">
              <w:rPr>
                <w:rFonts w:ascii="Sylfaen" w:hAnsi="Sylfaen"/>
                <w:sz w:val="20"/>
                <w:szCs w:val="20"/>
              </w:rPr>
              <w:t>შენიშვნას ვეთანხმებით და ჩვენ მიერ მოხდა აღნიშნული</w:t>
            </w:r>
            <w:r w:rsidR="00BB3903">
              <w:rPr>
                <w:rFonts w:ascii="Sylfaen" w:hAnsi="Sylfaen"/>
                <w:sz w:val="20"/>
                <w:szCs w:val="20"/>
              </w:rPr>
              <w:t xml:space="preserve"> </w:t>
            </w:r>
            <w:r w:rsidR="002F59EE" w:rsidRPr="00E0534E">
              <w:rPr>
                <w:rFonts w:ascii="Sylfaen" w:hAnsi="Sylfaen"/>
                <w:sz w:val="20"/>
                <w:szCs w:val="20"/>
              </w:rPr>
              <w:t xml:space="preserve"> </w:t>
            </w:r>
            <w:r w:rsidR="00BB3903" w:rsidRPr="00BB3903">
              <w:rPr>
                <w:rFonts w:ascii="Sylfaen" w:hAnsi="Sylfaen"/>
                <w:sz w:val="20"/>
                <w:szCs w:val="20"/>
              </w:rPr>
              <w:t xml:space="preserve">„110 კვ ეგხ ხუდონის </w:t>
            </w:r>
            <w:r w:rsidR="00BB3903">
              <w:rPr>
                <w:rFonts w:ascii="Sylfaen" w:hAnsi="Sylfaen"/>
                <w:sz w:val="20"/>
                <w:szCs w:val="20"/>
              </w:rPr>
              <w:t>გაძლიერების</w:t>
            </w:r>
            <w:r w:rsidR="00BB3903" w:rsidRPr="00BB3903">
              <w:rPr>
                <w:rFonts w:ascii="Sylfaen" w:hAnsi="Sylfaen"/>
                <w:sz w:val="20"/>
                <w:szCs w:val="20"/>
              </w:rPr>
              <w:t>“</w:t>
            </w:r>
            <w:r w:rsidR="00BB3903">
              <w:rPr>
                <w:rFonts w:ascii="Sylfaen" w:hAnsi="Sylfaen"/>
                <w:sz w:val="20"/>
                <w:szCs w:val="20"/>
                <w:lang w:val="ka-GE"/>
              </w:rPr>
              <w:t>პროექტის</w:t>
            </w:r>
            <w:r w:rsidR="002F59EE" w:rsidRPr="00E0534E">
              <w:rPr>
                <w:rFonts w:ascii="Sylfaen" w:hAnsi="Sylfaen"/>
                <w:sz w:val="20"/>
                <w:szCs w:val="20"/>
              </w:rPr>
              <w:t xml:space="preserve"> ამოღება ათწლიანი გეგმიდან</w:t>
            </w:r>
            <w:r w:rsidR="002F59EE" w:rsidRPr="002F59EE">
              <w:rPr>
                <w:rFonts w:ascii="Sylfaen" w:hAnsi="Sylfaen"/>
                <w:sz w:val="20"/>
                <w:szCs w:val="20"/>
              </w:rPr>
              <w:t>.</w:t>
            </w:r>
            <w:r w:rsidR="002F59EE">
              <w:rPr>
                <w:rFonts w:ascii="Sylfaen" w:hAnsi="Sylfaen"/>
                <w:sz w:val="20"/>
                <w:szCs w:val="20"/>
              </w:rPr>
              <w:t xml:space="preserve"> </w:t>
            </w:r>
            <w:r w:rsidRPr="00AB04C5">
              <w:rPr>
                <w:rFonts w:ascii="Sylfaen" w:hAnsi="Sylfaen"/>
                <w:sz w:val="20"/>
                <w:szCs w:val="20"/>
              </w:rPr>
              <w:t>ქ/ს ”მესტია 35-ის“ გაფართოებ</w:t>
            </w:r>
            <w:r w:rsidR="0035509B" w:rsidRPr="00984899">
              <w:rPr>
                <w:rFonts w:ascii="Sylfaen" w:hAnsi="Sylfaen"/>
                <w:color w:val="000000" w:themeColor="text1"/>
                <w:sz w:val="20"/>
                <w:szCs w:val="20"/>
                <w:lang w:val="ka-GE"/>
              </w:rPr>
              <w:t>ა</w:t>
            </w:r>
            <w:r w:rsidRPr="00AB04C5">
              <w:rPr>
                <w:rFonts w:ascii="Sylfaen" w:hAnsi="Sylfaen"/>
                <w:sz w:val="20"/>
                <w:szCs w:val="20"/>
              </w:rPr>
              <w:t xml:space="preserve"> დაკავშირებულია როგორც მიმდებარე რეგიონში 90 მგვტ სიმძლავრის ჰესების სიმძლავრის გამოტანასთან, ასევე მესტიის რეგიონის მოხმარების საიმედოობის გაზრდასთანაც. ამავე საკითხს ეხმიანება </w:t>
            </w:r>
            <w:r w:rsidR="00A8167B" w:rsidRPr="00984899">
              <w:rPr>
                <w:rFonts w:ascii="Sylfaen" w:hAnsi="Sylfaen"/>
                <w:color w:val="000000" w:themeColor="text1"/>
                <w:sz w:val="20"/>
                <w:szCs w:val="20"/>
              </w:rPr>
              <w:t>სემეკის</w:t>
            </w:r>
            <w:r w:rsidR="00A8167B">
              <w:rPr>
                <w:rFonts w:ascii="Sylfaen" w:hAnsi="Sylfaen"/>
                <w:sz w:val="20"/>
                <w:szCs w:val="20"/>
              </w:rPr>
              <w:t xml:space="preserve"> </w:t>
            </w:r>
            <w:r w:rsidRPr="00AB04C5">
              <w:rPr>
                <w:rFonts w:ascii="Sylfaen" w:hAnsi="Sylfaen"/>
                <w:sz w:val="20"/>
                <w:szCs w:val="20"/>
              </w:rPr>
              <w:t xml:space="preserve">მიერ წარმოდგენილი შენიშვნების 21.ბ პუნქტში მოცემული სს „ენერგო-პრო ჯორჯიას“ მოსაზრებაც, რომლის თანახმადაც „ჩრდილოეთის რგოლი-წყალტუბოს“ პროექტში ქვესადგურ „მესტიის“ გაფართოების თაობა, კერძოდ 110 კვ ძაბვის ხაზის მიყვანა და სამგრაგნილა ტრანსფორმატორის ჩართვა კრიტიკულად აუცილებელია განხორციელდეს 2020 წლის </w:t>
            </w:r>
            <w:r w:rsidRPr="00AB04C5">
              <w:rPr>
                <w:rFonts w:ascii="Sylfaen" w:hAnsi="Sylfaen"/>
                <w:sz w:val="20"/>
                <w:szCs w:val="20"/>
              </w:rPr>
              <w:lastRenderedPageBreak/>
              <w:t>მაისამდე, ნაცვლად ათწლიან გეგმით გათვალისწინებული 2022¬-2026 წწ.</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4B61B6" w:rsidRPr="004566FD" w:rsidRDefault="004B61B6"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925A54" w:rsidRPr="00AB04C5" w:rsidRDefault="00AB04C5" w:rsidP="00D45CFB">
            <w:pPr>
              <w:spacing w:after="0" w:line="240" w:lineRule="auto"/>
              <w:rPr>
                <w:rFonts w:ascii="Sylfaen" w:eastAsia="Times New Roman" w:hAnsi="Sylfaen"/>
                <w:sz w:val="20"/>
                <w:szCs w:val="20"/>
              </w:rPr>
            </w:pPr>
            <w:r>
              <w:rPr>
                <w:rFonts w:ascii="Sylfaen" w:eastAsia="Times New Roman" w:hAnsi="Sylfaen"/>
                <w:sz w:val="20"/>
                <w:szCs w:val="20"/>
              </w:rPr>
              <w:t xml:space="preserve">4. </w:t>
            </w:r>
            <w:r w:rsidRPr="00AB04C5">
              <w:rPr>
                <w:rFonts w:ascii="Sylfaen" w:eastAsia="Times New Roman" w:hAnsi="Sylfaen"/>
                <w:sz w:val="20"/>
                <w:szCs w:val="20"/>
              </w:rPr>
              <w:t>პარაგრაფ 3.6-ში „ოპერირების სტრატეგია, მიწოდების უსაფრთხოებისა და ენერგოსისტემის საიმედოობის დონე“ საქართველოს გადამცემი ქსელის სუსტი/პრობლემური ადგილების ჩამონათვალში ასახულია ისეთი ქსელური ელემენტები, რომლებიც ჯერ კიდევ პროექტირება-მშენებლობის ეტაპზე არის, რაც ჩვენი აზრით გადამცემი სისტემის დაგეგმვის ხარვეზებზე მიუთითებს;</w:t>
            </w:r>
          </w:p>
        </w:tc>
        <w:tc>
          <w:tcPr>
            <w:tcW w:w="4320" w:type="dxa"/>
            <w:tcBorders>
              <w:top w:val="single" w:sz="4" w:space="0" w:color="auto"/>
              <w:left w:val="single" w:sz="4" w:space="0" w:color="auto"/>
              <w:bottom w:val="single" w:sz="4" w:space="0" w:color="auto"/>
              <w:right w:val="single" w:sz="4" w:space="0" w:color="auto"/>
            </w:tcBorders>
          </w:tcPr>
          <w:p w:rsidR="00925A54" w:rsidRPr="004566FD" w:rsidRDefault="00AB04C5" w:rsidP="007D068D">
            <w:pPr>
              <w:pStyle w:val="ListParagraph"/>
              <w:spacing w:after="0" w:line="240" w:lineRule="auto"/>
              <w:ind w:left="9"/>
              <w:rPr>
                <w:rFonts w:ascii="Sylfaen" w:hAnsi="Sylfaen"/>
                <w:sz w:val="20"/>
                <w:szCs w:val="20"/>
              </w:rPr>
            </w:pPr>
            <w:r>
              <w:rPr>
                <w:rFonts w:ascii="Sylfaen" w:hAnsi="Sylfaen"/>
                <w:sz w:val="20"/>
                <w:szCs w:val="20"/>
                <w:lang w:val="en-US"/>
              </w:rPr>
              <w:t xml:space="preserve">4. </w:t>
            </w:r>
            <w:r w:rsidRPr="00AB04C5">
              <w:rPr>
                <w:rFonts w:ascii="Sylfaen" w:hAnsi="Sylfaen"/>
                <w:sz w:val="20"/>
                <w:szCs w:val="20"/>
              </w:rPr>
              <w:t>ქსელის სუსტი/პრობლემური ადგილების თაობაზე გაკეთებულ შენიშვნას არ ვეთანხმებით, რადგანაც აღნიშნული წარმოადგენს არა სისტემის დაგეგმვის ხარვეზს, არამედ მექანიკურ ხარვეზს, რომელიც გასწორებული იქნა.</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sz w:val="20"/>
                <w:szCs w:val="20"/>
              </w:rPr>
            </w:pPr>
            <w:r>
              <w:rPr>
                <w:rFonts w:ascii="Sylfaen" w:hAnsi="Sylfaen"/>
                <w:sz w:val="20"/>
                <w:szCs w:val="20"/>
              </w:rPr>
              <w:t xml:space="preserve">5. </w:t>
            </w:r>
            <w:r w:rsidRPr="00AB04C5">
              <w:rPr>
                <w:rFonts w:ascii="Sylfaen" w:hAnsi="Sylfaen"/>
                <w:sz w:val="20"/>
                <w:szCs w:val="20"/>
              </w:rPr>
              <w:t>პარაგრაფ 10.4-ში „ქვესადგურის გაძლიერების საჭიროების ანალიზი“ მოყვანილია ქვესადგურებში თავისუფალი სიმძლავრის გაანგარიშების მეთოდოლოგია, რომელშიც არ არის გათვალისწინებული კომისიის 2019 წლის 19 ივნისის №48/1 გადაწყვეტილებით განსაზღვრული შენიშვნები.</w:t>
            </w:r>
          </w:p>
        </w:tc>
        <w:tc>
          <w:tcPr>
            <w:tcW w:w="4320" w:type="dxa"/>
            <w:tcBorders>
              <w:top w:val="single" w:sz="4" w:space="0" w:color="auto"/>
              <w:left w:val="single" w:sz="4" w:space="0" w:color="auto"/>
              <w:bottom w:val="single" w:sz="4" w:space="0" w:color="auto"/>
              <w:right w:val="single" w:sz="4" w:space="0" w:color="auto"/>
            </w:tcBorders>
          </w:tcPr>
          <w:p w:rsidR="00145E2F" w:rsidRPr="004566FD" w:rsidRDefault="00AB04C5" w:rsidP="002F59EE">
            <w:pPr>
              <w:spacing w:after="0" w:line="240" w:lineRule="auto"/>
              <w:ind w:left="9" w:hanging="9"/>
              <w:rPr>
                <w:rFonts w:ascii="Sylfaen" w:hAnsi="Sylfaen" w:cs="Sylfaen"/>
                <w:sz w:val="20"/>
                <w:szCs w:val="20"/>
                <w:lang w:val="ka-GE"/>
              </w:rPr>
            </w:pPr>
            <w:r>
              <w:rPr>
                <w:rFonts w:ascii="Sylfaen" w:hAnsi="Sylfaen" w:cs="Sylfaen"/>
                <w:sz w:val="20"/>
                <w:szCs w:val="20"/>
              </w:rPr>
              <w:t xml:space="preserve">5. </w:t>
            </w:r>
            <w:r w:rsidRPr="00AB04C5">
              <w:rPr>
                <w:rFonts w:ascii="Sylfaen" w:hAnsi="Sylfaen" w:cs="Sylfaen"/>
                <w:sz w:val="20"/>
                <w:szCs w:val="20"/>
                <w:lang w:val="ka-GE"/>
              </w:rPr>
              <w:t>ქვესადგურებში თავისუფალი სიმძლავრის გაანგარიშების მეთოდოლოგიასთან დაკავშირებით წარმოდგენილ შენიშვნას ვეთანხმებით</w:t>
            </w:r>
            <w:r w:rsidR="002F59EE">
              <w:rPr>
                <w:rFonts w:ascii="Sylfaen" w:hAnsi="Sylfaen" w:cs="Sylfaen"/>
                <w:sz w:val="20"/>
                <w:szCs w:val="20"/>
                <w:lang w:val="ka-GE"/>
              </w:rPr>
              <w:t xml:space="preserve">, </w:t>
            </w:r>
            <w:r w:rsidR="002F59EE" w:rsidRPr="004174EC">
              <w:rPr>
                <w:rFonts w:ascii="Sylfaen" w:hAnsi="Sylfaen" w:cs="Sylfaen"/>
                <w:sz w:val="20"/>
                <w:szCs w:val="20"/>
                <w:lang w:val="ka-GE"/>
              </w:rPr>
              <w:t>შესაბამისად  ჩვენი მხრიდან</w:t>
            </w:r>
            <w:r w:rsidRPr="004174EC">
              <w:rPr>
                <w:rFonts w:ascii="Sylfaen" w:hAnsi="Sylfaen" w:cs="Sylfaen"/>
                <w:sz w:val="20"/>
                <w:szCs w:val="20"/>
                <w:lang w:val="ka-GE"/>
              </w:rPr>
              <w:t xml:space="preserve"> </w:t>
            </w:r>
            <w:r w:rsidR="002F59EE" w:rsidRPr="004174EC">
              <w:rPr>
                <w:rFonts w:ascii="Sylfaen" w:hAnsi="Sylfaen" w:cs="Sylfaen"/>
                <w:sz w:val="20"/>
                <w:szCs w:val="20"/>
                <w:lang w:val="ka-GE"/>
              </w:rPr>
              <w:t>მოხდა ათწლიანი გეგმის კორექტირება</w:t>
            </w:r>
            <w:r w:rsidRPr="004174EC">
              <w:rPr>
                <w:rFonts w:ascii="Sylfaen" w:hAnsi="Sylfaen" w:cs="Sylfaen"/>
                <w:sz w:val="20"/>
                <w:szCs w:val="20"/>
                <w:lang w:val="ka-GE"/>
              </w:rPr>
              <w:t>.</w:t>
            </w:r>
          </w:p>
        </w:tc>
      </w:tr>
      <w:tr w:rsidR="004566FD" w:rsidRPr="004566FD" w:rsidTr="00D45CFB">
        <w:trPr>
          <w:trHeight w:val="70"/>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cs="Sylfaen"/>
                <w:sz w:val="20"/>
                <w:szCs w:val="20"/>
              </w:rPr>
            </w:pPr>
            <w:r>
              <w:rPr>
                <w:rFonts w:ascii="Sylfaen" w:hAnsi="Sylfaen" w:cs="Sylfaen"/>
                <w:sz w:val="20"/>
                <w:szCs w:val="20"/>
              </w:rPr>
              <w:t xml:space="preserve">6. </w:t>
            </w:r>
            <w:r w:rsidRPr="00AB04C5">
              <w:rPr>
                <w:rFonts w:ascii="Sylfaen" w:hAnsi="Sylfaen" w:cs="Sylfaen"/>
                <w:sz w:val="20"/>
                <w:szCs w:val="20"/>
              </w:rPr>
              <w:t>ცხრილ 4.4 „პერსპექტიული ჰესების საპროგნოზო მონაცემების“ თანახმად დაგეგმილია ისეთი ელექტროსადგურების ქსელში ინტეგრაცია, განსაკუთრებით 2019 წელს, რომელიც მშენებლობის ეტაპზეც კი არ არის გადასული (მაგ. ჰესი „ხადორი 3“). გადამცემი ქსელის დაგეგმვის პროცესის სერიოზულ პრობლემად შეიძლება ჩაითვალოს ელექტროსადგურების მშენებლობისა და ოპერირების თარიღების პროგნოზირებაში არსებული ხარვეზები;</w:t>
            </w:r>
          </w:p>
        </w:tc>
        <w:tc>
          <w:tcPr>
            <w:tcW w:w="4320" w:type="dxa"/>
            <w:tcBorders>
              <w:top w:val="single" w:sz="4" w:space="0" w:color="auto"/>
              <w:left w:val="single" w:sz="4" w:space="0" w:color="auto"/>
              <w:bottom w:val="single" w:sz="4" w:space="0" w:color="auto"/>
              <w:right w:val="single" w:sz="4" w:space="0" w:color="auto"/>
            </w:tcBorders>
          </w:tcPr>
          <w:p w:rsidR="00145E2F" w:rsidRPr="004566FD" w:rsidRDefault="00AB04C5" w:rsidP="00BB3903">
            <w:pPr>
              <w:pStyle w:val="ListParagraph"/>
              <w:spacing w:after="0" w:line="240" w:lineRule="auto"/>
              <w:ind w:left="9"/>
              <w:rPr>
                <w:rFonts w:ascii="Sylfaen" w:hAnsi="Sylfaen"/>
                <w:sz w:val="20"/>
                <w:szCs w:val="20"/>
              </w:rPr>
            </w:pPr>
            <w:r>
              <w:rPr>
                <w:rFonts w:ascii="Sylfaen" w:hAnsi="Sylfaen"/>
                <w:sz w:val="20"/>
                <w:szCs w:val="20"/>
                <w:lang w:val="en-US"/>
              </w:rPr>
              <w:t xml:space="preserve">6. </w:t>
            </w:r>
            <w:r w:rsidRPr="00AB04C5">
              <w:rPr>
                <w:rFonts w:ascii="Sylfaen" w:hAnsi="Sylfaen"/>
                <w:sz w:val="20"/>
                <w:szCs w:val="20"/>
              </w:rPr>
              <w:t>როგორც ცნობილია, „ხადორი 3“ ჰესის ექსპლუატაციაში შესვლის თარიღი გადაიდო გახმაურებული მოვლენების გამო (ადგილობრივი მოსახლეობის პროტესტი), რაც არ იყო გათვალისწინებული ათწლიანი გეგმის შედგენის ეტაპზე. ამას გარდა, მექანიკური ხარვეზი იყო ჩარჩენილი ათწლიან გეგმაში. დადგმული სიმძლავრის სიმცირის გამო (5 მგვტ-მდე), აღნიშნული სადგური ვერ მოახდენდა გავლენას სისტემის დაგეგმარების პროცესზე. ამდენად, შენიშვნას ელექტროსადგურების ქსელში ინტეგრაციის თარიღებთან დაკავშირებით არ ვეთანხმებით და მიგვაჩნია, რომ ხსენებული პრობლემური საკითხი არ შეიძლება განხილულ იქნას აღნიშნულ კონტექსტში.</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cs="Sylfaen"/>
                <w:sz w:val="20"/>
                <w:szCs w:val="20"/>
              </w:rPr>
            </w:pPr>
            <w:r>
              <w:rPr>
                <w:rFonts w:ascii="Sylfaen" w:hAnsi="Sylfaen" w:cs="Sylfaen"/>
                <w:sz w:val="20"/>
                <w:szCs w:val="20"/>
              </w:rPr>
              <w:t xml:space="preserve">7. </w:t>
            </w:r>
            <w:r w:rsidRPr="00AB04C5">
              <w:rPr>
                <w:rFonts w:ascii="Sylfaen" w:hAnsi="Sylfaen" w:cs="Sylfaen"/>
                <w:sz w:val="20"/>
                <w:szCs w:val="20"/>
              </w:rPr>
              <w:t>პარაგრაფ 4.3.1-ში „თურქეთის მიმართულება“, „ახალციხე-თორთუმის“ ელექტროგადამცემი ხაზის მშენებლობის საფუძვლად მითითებულია 2010 წელს გაფორმებული მემორანდუმი პროექტის ტექნიკური შესწავლის თაობაზე, ხოლო 2015 წელს „TEIAŞ“-სა და სსე-ს შეხვედრაზე დაფიქსირდა, რომ ხელი მოეწერებოდა შეთანხმებას პროექტის 2022 წლის ბოლომდე დასრულების შესახებ. თუმცა, გეგმის 152-ე გვერდზე პროექტის ექსპლუატაციაში შესვლის ვადად მითითებულია 2022-2025 წლები, რაც ეგხ „ახალციხე-ბორჩხას“ სრულად დატვირთვის პირობებში „ახალციხე-¬თორთუმის“ გამოყენებას ზღუდავს 3 წლის განმავლობაში;</w:t>
            </w:r>
          </w:p>
        </w:tc>
        <w:tc>
          <w:tcPr>
            <w:tcW w:w="4320" w:type="dxa"/>
            <w:tcBorders>
              <w:top w:val="single" w:sz="4" w:space="0" w:color="auto"/>
              <w:left w:val="single" w:sz="4" w:space="0" w:color="auto"/>
              <w:bottom w:val="single" w:sz="4" w:space="0" w:color="auto"/>
              <w:right w:val="single" w:sz="4" w:space="0" w:color="auto"/>
            </w:tcBorders>
          </w:tcPr>
          <w:p w:rsidR="00145E2F" w:rsidRPr="004566FD" w:rsidRDefault="00AB04C5" w:rsidP="00BB3903">
            <w:pPr>
              <w:spacing w:after="0" w:line="240" w:lineRule="auto"/>
              <w:ind w:left="9" w:hanging="9"/>
              <w:rPr>
                <w:rFonts w:ascii="Sylfaen" w:hAnsi="Sylfaen"/>
                <w:sz w:val="20"/>
                <w:szCs w:val="20"/>
                <w:lang w:val="ka-GE"/>
              </w:rPr>
            </w:pPr>
            <w:r>
              <w:rPr>
                <w:rFonts w:ascii="Sylfaen" w:hAnsi="Sylfaen"/>
                <w:sz w:val="20"/>
                <w:szCs w:val="20"/>
              </w:rPr>
              <w:t xml:space="preserve">7. </w:t>
            </w:r>
            <w:r w:rsidRPr="00AB04C5">
              <w:rPr>
                <w:rFonts w:ascii="Sylfaen" w:hAnsi="Sylfaen"/>
                <w:sz w:val="20"/>
                <w:szCs w:val="20"/>
                <w:lang w:val="ka-GE"/>
              </w:rPr>
              <w:t>2022 წელი შეესაბამება ეგხ ახალციხე-თორთუმის მშენებლობა</w:t>
            </w:r>
            <w:r w:rsidR="00BB3903">
              <w:rPr>
                <w:rFonts w:ascii="Sylfaen" w:hAnsi="Sylfaen"/>
                <w:sz w:val="20"/>
                <w:szCs w:val="20"/>
                <w:lang w:val="ka-GE"/>
              </w:rPr>
              <w:t>ს</w:t>
            </w:r>
            <w:r w:rsidRPr="00AB04C5">
              <w:rPr>
                <w:rFonts w:ascii="Sylfaen" w:hAnsi="Sylfaen"/>
                <w:sz w:val="20"/>
                <w:szCs w:val="20"/>
                <w:lang w:val="ka-GE"/>
              </w:rPr>
              <w:t>, რომელიც გაზრდის საქართველო-თურქეთს შორის სიმძლავრის მიმოცვლის საიმედოობას მაგრამ ვერ გაზრდის მიმოცვლის შესაძლებლობას ახალციხის მუდმივი დენის ჩანართის სიმძლავრის (700 მგვტ) შეზღუდვის გამო. 2025 წელს კი მოიაზრება მუდმივი დენის ჩანართის მე-3 ბლოკის ექსპლუატაციაში შესვლა, რომელიც გაზრდის საქართველო-თურქეთის ენერგოსისტემებს შორის სიმძლავრის მიმოცვლის შესაძლებლობას 1050 მგვტ-მდე.</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sz w:val="20"/>
                <w:szCs w:val="20"/>
              </w:rPr>
            </w:pPr>
            <w:r>
              <w:rPr>
                <w:rFonts w:ascii="Sylfaen" w:hAnsi="Sylfaen"/>
                <w:sz w:val="20"/>
                <w:szCs w:val="20"/>
              </w:rPr>
              <w:t xml:space="preserve">8. </w:t>
            </w:r>
            <w:r w:rsidRPr="00AB04C5">
              <w:rPr>
                <w:rFonts w:ascii="Sylfaen" w:hAnsi="Sylfaen"/>
                <w:sz w:val="20"/>
                <w:szCs w:val="20"/>
              </w:rPr>
              <w:t>პარაგრაფი 4.3.3 „რუსეთის მიმართულება“ სსე-ს და რუსეთის ოპერატორს შორის 2015 წელს შემდგარი შეთანხმების საფუძველზე გაგრძელდა ეგხ „ქსანი-სტეფანწმინდა-მოზდოკის“ ტექნიკური მიზანშეწონილობის შესწავლა, შეთანხმება მიღწეული არ არის.</w:t>
            </w:r>
          </w:p>
        </w:tc>
        <w:tc>
          <w:tcPr>
            <w:tcW w:w="4320" w:type="dxa"/>
            <w:tcBorders>
              <w:top w:val="single" w:sz="4" w:space="0" w:color="auto"/>
              <w:left w:val="single" w:sz="4" w:space="0" w:color="auto"/>
              <w:bottom w:val="single" w:sz="4" w:space="0" w:color="auto"/>
              <w:right w:val="single" w:sz="4" w:space="0" w:color="auto"/>
            </w:tcBorders>
          </w:tcPr>
          <w:p w:rsidR="00145E2F" w:rsidRPr="00AB04C5" w:rsidRDefault="00AB04C5" w:rsidP="00984899">
            <w:pPr>
              <w:spacing w:after="0" w:line="240" w:lineRule="auto"/>
              <w:ind w:left="9" w:hanging="9"/>
              <w:rPr>
                <w:rFonts w:ascii="Sylfaen" w:hAnsi="Sylfaen"/>
                <w:sz w:val="20"/>
                <w:szCs w:val="20"/>
              </w:rPr>
            </w:pPr>
            <w:r>
              <w:rPr>
                <w:rFonts w:ascii="Sylfaen" w:hAnsi="Sylfaen"/>
                <w:sz w:val="20"/>
                <w:szCs w:val="20"/>
              </w:rPr>
              <w:t xml:space="preserve">8. </w:t>
            </w:r>
            <w:r w:rsidRPr="00AB04C5">
              <w:rPr>
                <w:rFonts w:ascii="Sylfaen" w:hAnsi="Sylfaen"/>
                <w:sz w:val="20"/>
                <w:szCs w:val="20"/>
              </w:rPr>
              <w:t>სიტყვიერი შეთანხმება პროექტის გაგრძელებაზე მიღწეულია პროექტის მონაწილე ოთხივე ქვეყანას შორის, რაც დაფიქსირებულია მ.წ. 16 აპრილს თეირანში გამართულ შეხვედრის ოქმში (იხ. დანართად). კვლევა განახლდება პროექტის მონაწილე მხარეებისგან საჭირო ინფორმაციის სრულად წარმოდგენის შემდეგ - კვლევის დასრულების სავარაუდო დროა 2020 წელი.</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cs="Sylfaen"/>
                <w:sz w:val="20"/>
                <w:szCs w:val="20"/>
              </w:rPr>
            </w:pPr>
            <w:r>
              <w:rPr>
                <w:rFonts w:ascii="Sylfaen" w:hAnsi="Sylfaen" w:cs="Sylfaen"/>
                <w:sz w:val="20"/>
                <w:szCs w:val="20"/>
              </w:rPr>
              <w:t xml:space="preserve">9. </w:t>
            </w:r>
            <w:r w:rsidRPr="00AB04C5">
              <w:rPr>
                <w:rFonts w:ascii="Sylfaen" w:hAnsi="Sylfaen" w:cs="Sylfaen"/>
                <w:sz w:val="20"/>
                <w:szCs w:val="20"/>
              </w:rPr>
              <w:t>პარაგრაფში 4.3.5 „ჩრდილოეთი-სამხრეთის“ ენერგოდერეფნის პროექტი AGIR (სომხეთი-საქართველო-ირანი-რუსეთი)“ საქართველო-სომხეთის მონაკვეთზე, გეგმის თანახმად, მშენებლობის ეტაპზე მყოფი „მარნეული-¬აირუმი“ პროექტი არ არის შეთანხმებული კომისიასთან. ასევე, საქართველოში 2019 წლის 23-24 სექტემბერს სს სსე-ში გამართულ შეხვედრაზე, რომელსაც ესწრებოდნენ ორივე მხარის წარმომადგენლები, აღინიშნა პროექტის განხორციელების აუცილებლობა და დასახელდა მისი განხორციელების მხოლოდ სავარაუდო</w:t>
            </w:r>
            <w:r w:rsidR="004174EC">
              <w:rPr>
                <w:rFonts w:ascii="Sylfaen" w:hAnsi="Sylfaen" w:cs="Sylfaen"/>
                <w:sz w:val="20"/>
                <w:szCs w:val="20"/>
                <w:lang w:val="ka-GE"/>
              </w:rPr>
              <w:t xml:space="preserve"> </w:t>
            </w:r>
            <w:r w:rsidR="004174EC" w:rsidRPr="004174EC">
              <w:rPr>
                <w:rFonts w:ascii="Sylfaen" w:hAnsi="Sylfaen" w:cs="Sylfaen"/>
                <w:sz w:val="20"/>
                <w:szCs w:val="20"/>
              </w:rPr>
              <w:t>თარიღი - 2022 წელი, რაც არ შეიძლება ჩაითვალოს დადასტურებულ მონაცემად;</w:t>
            </w:r>
          </w:p>
        </w:tc>
        <w:tc>
          <w:tcPr>
            <w:tcW w:w="4320" w:type="dxa"/>
            <w:tcBorders>
              <w:top w:val="single" w:sz="4" w:space="0" w:color="auto"/>
              <w:left w:val="single" w:sz="4" w:space="0" w:color="auto"/>
              <w:bottom w:val="single" w:sz="4" w:space="0" w:color="auto"/>
              <w:right w:val="single" w:sz="4" w:space="0" w:color="auto"/>
            </w:tcBorders>
          </w:tcPr>
          <w:p w:rsidR="00145E2F" w:rsidRPr="00AB04C5" w:rsidRDefault="00AB04C5" w:rsidP="00BB3903">
            <w:pPr>
              <w:spacing w:after="0" w:line="240" w:lineRule="auto"/>
              <w:ind w:left="9" w:hanging="9"/>
              <w:rPr>
                <w:rFonts w:ascii="Sylfaen" w:hAnsi="Sylfaen"/>
                <w:sz w:val="20"/>
                <w:szCs w:val="20"/>
              </w:rPr>
            </w:pPr>
            <w:r>
              <w:rPr>
                <w:rFonts w:ascii="Sylfaen" w:hAnsi="Sylfaen"/>
                <w:sz w:val="20"/>
                <w:szCs w:val="20"/>
              </w:rPr>
              <w:t xml:space="preserve">9. </w:t>
            </w:r>
            <w:r w:rsidR="004174EC">
              <w:rPr>
                <w:rFonts w:ascii="Sylfaen" w:hAnsi="Sylfaen"/>
                <w:sz w:val="20"/>
                <w:szCs w:val="20"/>
                <w:lang w:val="ka-GE"/>
              </w:rPr>
              <w:t>სომხეთის მხარესგან მიღებული</w:t>
            </w:r>
            <w:r w:rsidR="004174EC" w:rsidRPr="004174EC">
              <w:rPr>
                <w:rFonts w:ascii="Sylfaen" w:hAnsi="Sylfaen"/>
                <w:sz w:val="20"/>
                <w:szCs w:val="20"/>
              </w:rPr>
              <w:t>, 2019 წლის 29 ნოემბრის წერილის  საფუძველზე</w:t>
            </w:r>
            <w:r w:rsidR="004174EC">
              <w:rPr>
                <w:rFonts w:ascii="Sylfaen" w:hAnsi="Sylfaen"/>
                <w:sz w:val="20"/>
                <w:szCs w:val="20"/>
                <w:lang w:val="ka-GE"/>
              </w:rPr>
              <w:t xml:space="preserve"> აღნიშნული პროექტის დასრულების წელი</w:t>
            </w:r>
            <w:r w:rsidR="004174EC" w:rsidRPr="004174EC">
              <w:rPr>
                <w:rFonts w:ascii="Sylfaen" w:hAnsi="Sylfaen"/>
                <w:sz w:val="20"/>
                <w:szCs w:val="20"/>
              </w:rPr>
              <w:t xml:space="preserve"> </w:t>
            </w:r>
            <w:r w:rsidR="004174EC">
              <w:rPr>
                <w:rFonts w:ascii="Sylfaen" w:hAnsi="Sylfaen"/>
                <w:sz w:val="20"/>
                <w:szCs w:val="20"/>
                <w:lang w:val="ka-GE"/>
              </w:rPr>
              <w:t xml:space="preserve">დაკორექტირდა </w:t>
            </w:r>
            <w:r w:rsidR="004174EC" w:rsidRPr="004174EC">
              <w:rPr>
                <w:rFonts w:ascii="Sylfaen" w:hAnsi="Sylfaen"/>
                <w:sz w:val="20"/>
                <w:szCs w:val="20"/>
              </w:rPr>
              <w:t>და განისაზღვრა 2023 წლით ნაცვლად 2022 წლისა.</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AB04C5" w:rsidRDefault="00AB04C5" w:rsidP="00D45CFB">
            <w:pPr>
              <w:spacing w:after="0" w:line="240" w:lineRule="auto"/>
              <w:rPr>
                <w:rFonts w:ascii="Sylfaen" w:hAnsi="Sylfaen"/>
                <w:sz w:val="20"/>
                <w:szCs w:val="20"/>
              </w:rPr>
            </w:pPr>
            <w:r>
              <w:rPr>
                <w:rFonts w:ascii="Sylfaen" w:hAnsi="Sylfaen"/>
                <w:sz w:val="20"/>
                <w:szCs w:val="20"/>
              </w:rPr>
              <w:t>10.</w:t>
            </w:r>
            <w:r>
              <w:t xml:space="preserve"> </w:t>
            </w:r>
            <w:r w:rsidRPr="00AB04C5">
              <w:rPr>
                <w:rFonts w:ascii="Sylfaen" w:hAnsi="Sylfaen"/>
                <w:sz w:val="20"/>
                <w:szCs w:val="20"/>
              </w:rPr>
              <w:t>პარაგრაფში 4.6 „მთავრობის, საქართველოს ეკონომიკისა და მდგრადი განვითარების სამინისტროს, ასევე კომისიის გადაწყვეტილებების საფუძველზე პროექტებში განსახორციელებელი ცვლილებები“ მითითებულია, რომ დავალებები ამ ეტაპზე არ არის, თუმცა გეგმის შინაარსიდან გამომდინარე არ ჩანს ვისი დავალებაა თუშეთში 35 კვ ძაბვის ხაზის მშენებლობა. ამასთან, გეგმა შესაბამისობაში არ არის კომისიასთან შეთანხმებულ 3 წლიან საინვესტიციო გეგმასთან და ათწლიან გეგმაში არ არის ასახული კომისიის ის დავალებები და გადაწყვეტილებები, რომლის საფუძველზე სს სსე-მ უნდა მოიყვანოს შესაბამისობაში ქსელის კომპონენტები „ქსელის წესების“ მოთხოვნებთან და დეფიციტურ უბნებზე უნდა შექმნას დამატებითი სიმძლავრეები.</w:t>
            </w:r>
          </w:p>
        </w:tc>
        <w:tc>
          <w:tcPr>
            <w:tcW w:w="4320" w:type="dxa"/>
            <w:tcBorders>
              <w:top w:val="single" w:sz="4" w:space="0" w:color="auto"/>
              <w:left w:val="single" w:sz="4" w:space="0" w:color="auto"/>
              <w:bottom w:val="single" w:sz="4" w:space="0" w:color="auto"/>
              <w:right w:val="single" w:sz="4" w:space="0" w:color="auto"/>
            </w:tcBorders>
          </w:tcPr>
          <w:p w:rsidR="00145E2F" w:rsidRPr="00D8612A" w:rsidRDefault="00AB04C5" w:rsidP="00984899">
            <w:pPr>
              <w:spacing w:after="0" w:line="240" w:lineRule="auto"/>
              <w:ind w:left="9" w:hanging="9"/>
              <w:rPr>
                <w:rFonts w:ascii="Sylfaen" w:hAnsi="Sylfaen" w:cs="Sylfaen"/>
                <w:sz w:val="20"/>
                <w:szCs w:val="20"/>
              </w:rPr>
            </w:pPr>
            <w:r w:rsidRPr="00D8612A">
              <w:rPr>
                <w:rFonts w:ascii="Sylfaen" w:hAnsi="Sylfaen" w:cs="Sylfaen"/>
                <w:sz w:val="20"/>
                <w:szCs w:val="20"/>
              </w:rPr>
              <w:t>10.</w:t>
            </w:r>
            <w:r w:rsidRPr="00D8612A">
              <w:rPr>
                <w:rFonts w:ascii="Sylfaen" w:hAnsi="Sylfaen"/>
                <w:sz w:val="20"/>
                <w:szCs w:val="20"/>
              </w:rPr>
              <w:t xml:space="preserve"> </w:t>
            </w:r>
            <w:r w:rsidR="004174EC" w:rsidRPr="004174EC">
              <w:rPr>
                <w:rFonts w:ascii="Sylfaen" w:hAnsi="Sylfaen"/>
                <w:sz w:val="20"/>
                <w:szCs w:val="20"/>
                <w:lang w:val="ka-GE"/>
              </w:rPr>
              <w:t>საქართველოს ეკონომიკისა და მდგრადი განვითარების სამინისტროს 26.12.2019 წლის N23/10223 წერილის საფუძველზე, საქართველოს გადამცემი ქსელის განვითარების ათწლიან გეგმაში 2020-2030 გათვალისწინებული იქნა პროექტი „35 კვ ქსელის მშენებლობა/რეაბილიტაცია თუშეთის მიმართულებით</w:t>
            </w:r>
            <w:r w:rsidR="00A8167B">
              <w:rPr>
                <w:rFonts w:ascii="Sylfaen" w:hAnsi="Sylfaen"/>
                <w:sz w:val="20"/>
                <w:szCs w:val="20"/>
                <w:lang w:val="ka-GE"/>
              </w:rPr>
              <w:t xml:space="preserve">. </w:t>
            </w:r>
            <w:r w:rsidR="004174EC" w:rsidRPr="004174EC">
              <w:rPr>
                <w:rFonts w:ascii="Sylfaen" w:hAnsi="Sylfaen"/>
                <w:sz w:val="20"/>
                <w:szCs w:val="20"/>
                <w:lang w:val="ka-GE"/>
              </w:rPr>
              <w:t>“</w:t>
            </w:r>
            <w:r w:rsidRPr="00D8612A">
              <w:rPr>
                <w:rFonts w:ascii="Sylfaen" w:hAnsi="Sylfaen" w:cs="Sylfaen"/>
                <w:sz w:val="20"/>
                <w:szCs w:val="20"/>
              </w:rPr>
              <w:t>შენიშვნას კომისიის დავალებების და გადაწყვეტილებების საფუძველზე და სსე-ს მიერ დეფიციტურ უბნებზე დამატებითი სიმძლავრეების შექმნის მიზნით „ქსელის წესების“ მოთხოვნებთან ქსელის კომპონენტების შესაბამისობაში მოყვანის თაობაზე არ ვეთანხმებით</w:t>
            </w:r>
            <w:r w:rsidR="00D44918">
              <w:rPr>
                <w:rFonts w:ascii="Sylfaen" w:hAnsi="Sylfaen" w:cs="Sylfaen"/>
                <w:sz w:val="20"/>
                <w:szCs w:val="20"/>
                <w:lang w:val="ka-GE"/>
              </w:rPr>
              <w:t>.</w:t>
            </w:r>
            <w:r w:rsidRPr="00D8612A">
              <w:rPr>
                <w:rFonts w:ascii="Sylfaen" w:hAnsi="Sylfaen" w:cs="Sylfaen"/>
                <w:sz w:val="20"/>
                <w:szCs w:val="20"/>
              </w:rPr>
              <w:t xml:space="preserve"> </w:t>
            </w:r>
            <w:r w:rsidRPr="00D44918">
              <w:rPr>
                <w:rFonts w:ascii="Sylfaen" w:hAnsi="Sylfaen" w:cs="Sylfaen"/>
                <w:sz w:val="20"/>
                <w:szCs w:val="20"/>
              </w:rPr>
              <w:t xml:space="preserve"> </w:t>
            </w:r>
            <w:r w:rsidRPr="00D8612A">
              <w:rPr>
                <w:rFonts w:ascii="Sylfaen" w:hAnsi="Sylfaen" w:cs="Sylfaen"/>
                <w:sz w:val="20"/>
                <w:szCs w:val="20"/>
              </w:rPr>
              <w:t>სსე-ს მიერ განხორციელდა სიმძლავრეების დამატება ყველა დეფიციტურ უბანზე, რომელიც წარმოადგენს ათწლიანი გეგმის პროექტების ერთ-ერთი ჯგუფის -  „ქვესადგურების განახლება“ უმთავრეს დანიშნულებას.</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rPr>
                <w:rFonts w:ascii="Sylfaen" w:hAnsi="Sylfaen"/>
                <w:sz w:val="20"/>
                <w:szCs w:val="20"/>
              </w:rPr>
            </w:pPr>
            <w:r>
              <w:rPr>
                <w:rFonts w:ascii="Sylfaen" w:hAnsi="Sylfaen"/>
                <w:sz w:val="20"/>
                <w:szCs w:val="20"/>
              </w:rPr>
              <w:t xml:space="preserve">11. </w:t>
            </w:r>
            <w:r w:rsidRPr="00D8612A">
              <w:rPr>
                <w:rFonts w:ascii="Sylfaen" w:hAnsi="Sylfaen"/>
                <w:sz w:val="20"/>
                <w:szCs w:val="20"/>
              </w:rPr>
              <w:t>გეგმის 162-ე გვერდზე წარმოდგენილია პროექტი P.14 „კახეთის ინფრასტრუქტურის გაძლიერება“ (2022-2023 წწ.) 76 მილიონი ევროს საპროგნოზო საინვესტიციო ღირებულებით. აღნიშნული პროექტი ხარჯ¬სარგებლიანობის ანალიზში შეფასებულია ერთ-</w:t>
            </w:r>
            <w:r w:rsidRPr="00D8612A">
              <w:rPr>
                <w:rFonts w:ascii="Sylfaen" w:hAnsi="Sylfaen"/>
                <w:sz w:val="20"/>
                <w:szCs w:val="20"/>
              </w:rPr>
              <w:lastRenderedPageBreak/>
              <w:t>ერთი ყველაზე დაბალი 17 ქულით. 88 მგვტ სიმძლავრის სავარაუდო გენერაციის ინტეგრაციისთვის გათვალისწინებულია 76 მილიონი ევრო, ხოლო n-1 რეჟიმში ქსელის გამტარუნარიანობა შეადგენს 300 მგვტ-ს, რაც შეუსაბამო სიმძლავრეა ამ რეგიონისთვის, რადგან მოცემული რეგიონის ჯამური დატვირთვა 30 მგვტ-ს არ აღემატება და ისიც, ძირითადად ადგილობრივი გენერაციით იფარება. შესაბამისად, მიგვაჩნია, რომ პროექტი მოითხოვს ოპტიმიზაციას, მით უმეტეს, რომ დასაზუსტებელია რეგიონში არსებული გამანაწილებელი კომპანიისთვის გადასაცემი არსებული 35 კვ ძაბვის ინფრასტრუქტურა. ასევე, ჩვენი აზრით „35 კვ ძაბვის ხაზის მშენებლობა ქვესადგურ „ნაფარეულიდან“ „სტორიჰესის“ გავლით თუშეთის მიმართულებით“ მოითხოვს ცალკე ხარჯ¬სარგებლიანობის შეფასებას, ალტერნატიულ (თუშეთში ავტონომიური წყაროები) გადაწყვეტილებასთან მიმართებით. ამავე პროექტში არ ჩანს ქვესადგურ „ჟინვალის“ მშენებლობის ტექნიკურ-ეკონომიკური დასაბუთება.</w:t>
            </w:r>
          </w:p>
        </w:tc>
        <w:tc>
          <w:tcPr>
            <w:tcW w:w="4320" w:type="dxa"/>
            <w:tcBorders>
              <w:top w:val="single" w:sz="4" w:space="0" w:color="auto"/>
              <w:left w:val="single" w:sz="4" w:space="0" w:color="auto"/>
              <w:bottom w:val="single" w:sz="4" w:space="0" w:color="auto"/>
              <w:right w:val="single" w:sz="4" w:space="0" w:color="auto"/>
            </w:tcBorders>
          </w:tcPr>
          <w:p w:rsidR="00D8612A" w:rsidRPr="00D8612A" w:rsidRDefault="00D8612A" w:rsidP="00D8612A">
            <w:pPr>
              <w:spacing w:after="16"/>
              <w:rPr>
                <w:rFonts w:ascii="Sylfaen" w:eastAsia="Times New Roman" w:hAnsi="Sylfaen" w:cs="Sylfaen"/>
                <w:color w:val="000000"/>
                <w:sz w:val="20"/>
                <w:szCs w:val="20"/>
                <w:lang w:val="ka-GE"/>
              </w:rPr>
            </w:pPr>
            <w:r w:rsidRPr="00D8612A">
              <w:rPr>
                <w:rFonts w:ascii="Sylfaen" w:hAnsi="Sylfaen"/>
                <w:sz w:val="20"/>
                <w:szCs w:val="20"/>
              </w:rPr>
              <w:lastRenderedPageBreak/>
              <w:t xml:space="preserve">11. </w:t>
            </w:r>
          </w:p>
          <w:p w:rsidR="00D8612A" w:rsidRPr="00D8612A" w:rsidRDefault="00D8612A" w:rsidP="00D8612A">
            <w:pPr>
              <w:widowControl w:val="0"/>
              <w:numPr>
                <w:ilvl w:val="0"/>
                <w:numId w:val="65"/>
              </w:numPr>
              <w:autoSpaceDE w:val="0"/>
              <w:autoSpaceDN w:val="0"/>
              <w:adjustRightInd w:val="0"/>
              <w:spacing w:after="16" w:line="240" w:lineRule="auto"/>
              <w:ind w:left="342"/>
              <w:rPr>
                <w:rFonts w:ascii="Sylfaen" w:eastAsia="Times New Roman" w:hAnsi="Sylfaen" w:cs="Sylfaen"/>
                <w:color w:val="000000"/>
                <w:sz w:val="20"/>
                <w:szCs w:val="20"/>
                <w:lang w:val="ka-GE"/>
              </w:rPr>
            </w:pPr>
            <w:r w:rsidRPr="00D8612A">
              <w:rPr>
                <w:rFonts w:ascii="Sylfaen" w:eastAsia="Times New Roman" w:hAnsi="Sylfaen" w:cs="Sylfaen"/>
                <w:color w:val="000000"/>
                <w:sz w:val="20"/>
                <w:szCs w:val="20"/>
                <w:lang w:val="ka-GE"/>
              </w:rPr>
              <w:t xml:space="preserve">კახეთი წარმოადგენს საქართველოს ფართობით ყველაზე დიდ და ერთ-ერთ ყველაზე ინტენსიურად განვითარებად რეგიონს, რასაც მოწმობს ამ რეგიონში </w:t>
            </w:r>
            <w:r w:rsidRPr="00D8612A">
              <w:rPr>
                <w:rFonts w:ascii="Sylfaen" w:eastAsia="Times New Roman" w:hAnsi="Sylfaen" w:cs="Sylfaen"/>
                <w:color w:val="000000"/>
                <w:sz w:val="20"/>
                <w:szCs w:val="20"/>
                <w:lang w:val="ka-GE"/>
              </w:rPr>
              <w:lastRenderedPageBreak/>
              <w:t>მოთხოვნილი დამატებით სიმძლავრეების რაოდენობა. კახეთში ტურიზმის და წარმოების განვითარება წარმოადგენს გამოწვევას, რომელსაც უპასუხებს აღნიშნული ინფრასტრუქტურის განვითარება. შესაბამისად ამ რეგიონის ქსელის საიმედოობის ამაღლება არის კრიტიკულად მნიშვნელოვანი.  შედარებით დაბალი შეფასება იმაზე მეტყველებს მხოლოდ, რომ ეს პროექტი ახდენს შედარებით დაბალი მოცულობის გენერაციის წყაროების ინტეგრაციას სისტემაში, თუმცა, რეგიონის თვალსაზრისით, პროექტი მასშტაბურია.</w:t>
            </w:r>
          </w:p>
          <w:p w:rsidR="00D8612A" w:rsidRPr="00D8612A" w:rsidRDefault="00D8612A" w:rsidP="00D8612A">
            <w:pPr>
              <w:widowControl w:val="0"/>
              <w:autoSpaceDE w:val="0"/>
              <w:autoSpaceDN w:val="0"/>
              <w:adjustRightInd w:val="0"/>
              <w:spacing w:after="16" w:line="240" w:lineRule="auto"/>
              <w:ind w:left="342"/>
              <w:rPr>
                <w:rFonts w:ascii="Sylfaen" w:eastAsia="Times New Roman" w:hAnsi="Sylfaen" w:cs="Sylfaen"/>
                <w:color w:val="000000"/>
                <w:sz w:val="20"/>
                <w:szCs w:val="20"/>
                <w:lang w:val="ka-GE"/>
              </w:rPr>
            </w:pPr>
            <w:r w:rsidRPr="00D8612A">
              <w:rPr>
                <w:rFonts w:ascii="Sylfaen" w:eastAsia="Times New Roman" w:hAnsi="Sylfaen" w:cs="Sylfaen"/>
                <w:color w:val="000000"/>
                <w:sz w:val="20"/>
                <w:szCs w:val="20"/>
                <w:lang w:val="ka-GE"/>
              </w:rPr>
              <w:t>აღნიშნული პროექტი, გარდა კახეთისა, ემსახურება ჟინვალის რეგიონს. არსებული სადგურების ჯამური გენერაცია კახეთთან ერთად შეადგენს დაახლოებით 150 მგვტ-ს, პერსპექტიული სადგურების - დაახლოებით 90 მგვტ-ს. აქედან გამომდინარე, დაგეგმილია პროექტში შემავალი გადამცემი ხაზების შესრულება შედარებით მაღალი განივკვეთის მქონე სადენებით, რისთვისაც, ბუნებრივია, საჭიროა შედარებით მაღალი ინვესტიციები.</w:t>
            </w:r>
          </w:p>
          <w:p w:rsidR="00D8612A" w:rsidRPr="00D8612A" w:rsidRDefault="00C51216" w:rsidP="00D8612A">
            <w:pPr>
              <w:widowControl w:val="0"/>
              <w:numPr>
                <w:ilvl w:val="0"/>
                <w:numId w:val="65"/>
              </w:numPr>
              <w:autoSpaceDE w:val="0"/>
              <w:autoSpaceDN w:val="0"/>
              <w:adjustRightInd w:val="0"/>
              <w:spacing w:after="16" w:line="240" w:lineRule="auto"/>
              <w:ind w:left="342"/>
              <w:rPr>
                <w:rFonts w:ascii="Sylfaen" w:eastAsia="Times New Roman" w:hAnsi="Sylfaen" w:cs="Sylfaen"/>
                <w:color w:val="000000"/>
                <w:sz w:val="20"/>
                <w:szCs w:val="20"/>
                <w:lang w:val="ka-GE"/>
              </w:rPr>
            </w:pPr>
            <w:r>
              <w:rPr>
                <w:rFonts w:ascii="Sylfaen" w:eastAsia="Times New Roman" w:hAnsi="Sylfaen" w:cs="Sylfaen"/>
                <w:color w:val="000000"/>
                <w:sz w:val="20"/>
                <w:szCs w:val="20"/>
                <w:lang w:val="ka-GE"/>
              </w:rPr>
              <w:t>არ ვეთანხმებით</w:t>
            </w:r>
            <w:r w:rsidR="00D8612A" w:rsidRPr="00D8612A">
              <w:rPr>
                <w:rFonts w:ascii="Sylfaen" w:eastAsia="Times New Roman" w:hAnsi="Sylfaen" w:cs="Sylfaen"/>
                <w:color w:val="000000"/>
                <w:sz w:val="20"/>
                <w:szCs w:val="20"/>
                <w:lang w:val="ka-GE"/>
              </w:rPr>
              <w:t>, რომ კახეთის მოხმარება 30 მგვტ-ია და რომ ის იფარება ადგილობრივი გენერაციით. რეგიონის მოხმარება პიკში 90 მგვტ-ს აღწევს ზამთარში, როდესაც წყალმცირობის გამო გენერაცია არ აღემატება 20 მგვტ-ს და საჭიროა დანარჩენი სისტემიდან დეფიციტის დაფარვა. გენერაციის და მოხმარების განვითარების კვალდაკვალ, ასეთ რეჟიმებში იზრდება სისტემასთან მიმოსაცვლელი სიმძლავრეების საჭიროება. რაც შეეხება N-1 რეჟიმში 300 მგვტ გამტარუნარიანობას, ეს წარმოადგენს სტანდარტულ სიდიდეს 220 კვ 400 მმ კვეთის ხაზისთვის სტანდარტულ +25</w:t>
            </w:r>
            <w:r w:rsidR="00D8612A" w:rsidRPr="00D8612A">
              <w:rPr>
                <w:rFonts w:ascii="Sylfaen" w:eastAsia="Times New Roman" w:hAnsi="Sylfaen" w:cs="Sylfaen"/>
                <w:color w:val="000000"/>
                <w:sz w:val="20"/>
                <w:szCs w:val="20"/>
                <w:vertAlign w:val="superscript"/>
                <w:lang w:val="ka-GE"/>
              </w:rPr>
              <w:t>0</w:t>
            </w:r>
            <w:r w:rsidR="00D8612A" w:rsidRPr="00D8612A">
              <w:rPr>
                <w:rFonts w:ascii="Sylfaen" w:eastAsia="Times New Roman" w:hAnsi="Sylfaen" w:cs="Sylfaen"/>
                <w:color w:val="000000"/>
                <w:sz w:val="20"/>
                <w:szCs w:val="20"/>
              </w:rPr>
              <w:t>C</w:t>
            </w:r>
            <w:r w:rsidR="00D8612A" w:rsidRPr="00D8612A">
              <w:rPr>
                <w:rFonts w:ascii="Sylfaen" w:eastAsia="Times New Roman" w:hAnsi="Sylfaen" w:cs="Sylfaen"/>
                <w:color w:val="000000"/>
                <w:sz w:val="20"/>
                <w:szCs w:val="20"/>
                <w:lang w:val="ka-GE"/>
              </w:rPr>
              <w:t xml:space="preserve"> ტემპერატურაზე. ამასთან 220 კვ ეგხ ,,ლომისი“ და ,,მანავი“ წარმოადგენენ ჩიხურ ხაზებს და მათი </w:t>
            </w:r>
            <w:r w:rsidR="00D8612A" w:rsidRPr="00D8612A">
              <w:rPr>
                <w:rFonts w:ascii="Sylfaen" w:eastAsia="Times New Roman" w:hAnsi="Sylfaen" w:cs="Sylfaen"/>
                <w:color w:val="000000"/>
                <w:sz w:val="20"/>
                <w:szCs w:val="20"/>
                <w:lang w:val="ka-GE"/>
              </w:rPr>
              <w:lastRenderedPageBreak/>
              <w:t>დაკარგვა ავტომატურად იწვევს შესაბამისი რეგიონის გენერაციის ან მოხმარების დაკარგვას და იზოლირებას სისტემისაგან. რაც შეეხება ჟინვალში 220/110 კვ ქვესადგურის მშენებლობას, ის წარმოადგენს აუცილებლობას</w:t>
            </w:r>
            <w:r w:rsidR="00D8612A" w:rsidRPr="00D8612A">
              <w:rPr>
                <w:rFonts w:ascii="Sylfaen" w:eastAsia="Times New Roman" w:hAnsi="Sylfaen" w:cs="Sylfaen"/>
                <w:color w:val="000000"/>
                <w:sz w:val="20"/>
                <w:szCs w:val="20"/>
              </w:rPr>
              <w:t xml:space="preserve"> </w:t>
            </w:r>
            <w:r w:rsidR="00D8612A" w:rsidRPr="00D8612A">
              <w:rPr>
                <w:rFonts w:ascii="Sylfaen" w:eastAsia="Times New Roman" w:hAnsi="Sylfaen" w:cs="Sylfaen"/>
                <w:color w:val="000000"/>
                <w:sz w:val="20"/>
                <w:szCs w:val="20"/>
                <w:lang w:val="ka-GE"/>
              </w:rPr>
              <w:t>სუსტი ქსელის ნაკლოვანებების გამოსასწორებლად, რაც გულისხმობდა 110 კვ-დან 220 კვ-ზე ელექტროენერგიის ტრანსპორტირებას საგენერატორო 10 კვ ძაბვის გავლით, რაც ზღუდავს 220/110 კვ ტრანზიტის საიმედოობას და ამცირებს ჟინვალის რეგიონის 110 კვ მხარეს მიერთებული მომხმარებლების და გენერაციის საიმედოობას.</w:t>
            </w:r>
          </w:p>
          <w:p w:rsidR="00145E2F" w:rsidRPr="00D8612A" w:rsidRDefault="00D8612A" w:rsidP="00D8612A">
            <w:pPr>
              <w:pStyle w:val="Default"/>
              <w:ind w:left="9" w:hanging="9"/>
              <w:rPr>
                <w:color w:val="auto"/>
                <w:sz w:val="20"/>
                <w:szCs w:val="20"/>
              </w:rPr>
            </w:pPr>
            <w:r w:rsidRPr="00D8612A">
              <w:rPr>
                <w:rFonts w:eastAsia="Times New Roman" w:cs="Times New Roman"/>
                <w:color w:val="auto"/>
                <w:sz w:val="20"/>
                <w:szCs w:val="20"/>
                <w:lang w:val="ka-GE"/>
              </w:rPr>
              <w:t xml:space="preserve">რაც შეეხება „ნაფარეულიდან“ „სტორიჰესის“ გავლით თუშეთის მიმართულებით 35 კვ ძაბვის ხაზისთვის ცალკე ხარჯ-სარგებლიანობის შეფასებას, სსე-ს მიერ სემეკისთვის არაერთხელ იქნა განმარტებული, რომ ათწლიანი გეგმის </w:t>
            </w:r>
            <w:r w:rsidRPr="00D8612A">
              <w:rPr>
                <w:rFonts w:eastAsia="Times New Roman" w:cs="Times New Roman"/>
                <w:color w:val="auto"/>
                <w:sz w:val="20"/>
                <w:szCs w:val="20"/>
              </w:rPr>
              <w:t>CBA</w:t>
            </w:r>
            <w:r w:rsidRPr="00D8612A">
              <w:rPr>
                <w:rFonts w:eastAsia="Times New Roman" w:cs="Times New Roman"/>
                <w:color w:val="auto"/>
                <w:sz w:val="20"/>
                <w:szCs w:val="20"/>
                <w:lang w:val="ka-GE"/>
              </w:rPr>
              <w:t xml:space="preserve"> ანალიზის ჩატარება ტექნიკურად არ ხორციელდება გადამცემი ქსელის ცალკეული პერსპექტიული ელემენტისთვის (ერთი გადამცემი ხაზი ან ტრანსფორმატორი).</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pStyle w:val="Default"/>
              <w:rPr>
                <w:color w:val="auto"/>
                <w:sz w:val="20"/>
                <w:szCs w:val="20"/>
              </w:rPr>
            </w:pPr>
            <w:r>
              <w:rPr>
                <w:color w:val="auto"/>
                <w:sz w:val="20"/>
                <w:szCs w:val="20"/>
              </w:rPr>
              <w:t xml:space="preserve">12. </w:t>
            </w:r>
            <w:r w:rsidRPr="00D8612A">
              <w:rPr>
                <w:color w:val="auto"/>
                <w:sz w:val="20"/>
                <w:szCs w:val="20"/>
              </w:rPr>
              <w:t>პარაგრაფ 8.2-ში წარმოდგენილი ხარჯ-სარგებლიანობის ანალიზის მეთოდოლოგია მოითხოვს შემდგომ განვითარებას დაშვებებისა და სცენარების შეთანხმების კუთხით. ჩვენი აზრით, პროექტებზე ხარჯი¬სარგებლიანობის ანალიზის ჩატარებისას გამოყენებულია არაადეკვატური სცენარები, დაშვებები და კოეფიციენტები, მაგალითად ქსელური აქტივების დატვირთვის სიდიდის, მასში დანაკარგების შემცირების და მიუწოდებელი ელექტროენერგიის ფასის დაშვების კუთხით;</w:t>
            </w:r>
          </w:p>
        </w:tc>
        <w:tc>
          <w:tcPr>
            <w:tcW w:w="4320" w:type="dxa"/>
            <w:tcBorders>
              <w:top w:val="single" w:sz="4" w:space="0" w:color="auto"/>
              <w:left w:val="single" w:sz="4" w:space="0" w:color="auto"/>
              <w:bottom w:val="single" w:sz="4" w:space="0" w:color="auto"/>
              <w:right w:val="single" w:sz="4" w:space="0" w:color="auto"/>
            </w:tcBorders>
          </w:tcPr>
          <w:p w:rsidR="00D8612A" w:rsidRPr="00D8612A" w:rsidRDefault="00D8612A" w:rsidP="00D8612A">
            <w:pPr>
              <w:spacing w:after="0" w:line="240" w:lineRule="auto"/>
              <w:rPr>
                <w:rFonts w:ascii="Sylfaen" w:eastAsia="Times New Roman" w:hAnsi="Sylfaen" w:cs="Sylfaen"/>
                <w:bCs/>
                <w:color w:val="000000"/>
                <w:sz w:val="20"/>
                <w:szCs w:val="20"/>
                <w:lang w:val="ka-GE"/>
              </w:rPr>
            </w:pPr>
            <w:r>
              <w:rPr>
                <w:rFonts w:ascii="Sylfaen" w:hAnsi="Sylfaen" w:cs="Sylfaen"/>
                <w:sz w:val="20"/>
                <w:szCs w:val="20"/>
              </w:rPr>
              <w:t xml:space="preserve">12. </w:t>
            </w:r>
            <w:r w:rsidRPr="00D8612A">
              <w:rPr>
                <w:rFonts w:ascii="Sylfaen" w:eastAsia="Times New Roman" w:hAnsi="Sylfaen" w:cs="Sylfaen"/>
                <w:bCs/>
                <w:color w:val="000000"/>
                <w:sz w:val="20"/>
                <w:szCs w:val="20"/>
                <w:lang w:val="ka-GE"/>
              </w:rPr>
              <w:t>ათწლიან გეგმაში გამოყენებული CBA ანალიზის მეთოდოლოგია დაფუძნებულია საუკეთესო ევროპულ პრაქტიკაზე - ENTSO-E-ს ათწლიან გეგმაში არსებულ CBA ანალიზზე, გთხოვთ იხილოთ შესაბამისი ბმული ENTSO-E-ს ვებგვერდიდან:</w:t>
            </w:r>
            <w:r w:rsidRPr="00D8612A">
              <w:rPr>
                <w:rFonts w:ascii="Sylfaen" w:eastAsia="Times New Roman" w:hAnsi="Sylfaen" w:cs="Sylfaen"/>
                <w:color w:val="000000"/>
                <w:sz w:val="20"/>
                <w:szCs w:val="20"/>
                <w:lang w:val="ka-GE"/>
              </w:rPr>
              <w:br/>
            </w:r>
            <w:hyperlink r:id="rId9" w:history="1">
              <w:r w:rsidRPr="00D8612A">
                <w:rPr>
                  <w:rFonts w:ascii="Sylfaen" w:eastAsia="Times New Roman" w:hAnsi="Sylfaen" w:cs="Sylfaen"/>
                  <w:bCs/>
                  <w:color w:val="0563C1"/>
                  <w:sz w:val="20"/>
                  <w:szCs w:val="20"/>
                  <w:u w:val="single"/>
                  <w:lang w:val="ka-GE"/>
                </w:rPr>
                <w:t>https://docstore.entsoe.eu/major-projects/ten-year-network-development-plan/CBA-Methodology/Pages/default.aspx</w:t>
              </w:r>
            </w:hyperlink>
          </w:p>
          <w:p w:rsidR="00145E2F" w:rsidRPr="00D8612A" w:rsidRDefault="00D8612A" w:rsidP="00BB3903">
            <w:pPr>
              <w:spacing w:after="0" w:line="240" w:lineRule="auto"/>
              <w:ind w:left="9" w:hanging="9"/>
              <w:rPr>
                <w:rFonts w:ascii="Sylfaen" w:hAnsi="Sylfaen" w:cs="Sylfaen"/>
                <w:sz w:val="20"/>
                <w:szCs w:val="20"/>
              </w:rPr>
            </w:pPr>
            <w:r w:rsidRPr="00D8612A">
              <w:rPr>
                <w:rFonts w:ascii="Sylfaen" w:eastAsia="Times New Roman" w:hAnsi="Sylfaen" w:cs="Times New Roman"/>
                <w:bCs/>
                <w:sz w:val="20"/>
                <w:szCs w:val="20"/>
                <w:lang w:val="ka-GE"/>
              </w:rPr>
              <w:t>ასევე, სსე აქტიურად არის ჩართული სემეკის მიერ შემუშავებული „ინვესტიციების შეფასების წესის“ დახვეწა/სრულყოფის პროცესში, რის შედეგადაც ხდება მისი დახვეწა/სრულყოფა. აღნიშნული პროცესის დასრულების შემდეგ ვვარაუდობთ ამ წესში გამოყენებული მეთოდოლოგიის გავრცელებას ათწლიანი გეგმის პროექტების შეფასების ნაწილშიც.</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rPr>
                <w:rFonts w:ascii="Sylfaen" w:hAnsi="Sylfaen"/>
                <w:sz w:val="20"/>
                <w:szCs w:val="20"/>
              </w:rPr>
            </w:pPr>
            <w:r>
              <w:rPr>
                <w:rFonts w:ascii="Sylfaen" w:hAnsi="Sylfaen"/>
                <w:sz w:val="20"/>
                <w:szCs w:val="20"/>
              </w:rPr>
              <w:t xml:space="preserve">13. </w:t>
            </w:r>
            <w:r w:rsidRPr="00D8612A">
              <w:rPr>
                <w:rFonts w:ascii="Sylfaen" w:hAnsi="Sylfaen"/>
                <w:sz w:val="20"/>
                <w:szCs w:val="20"/>
              </w:rPr>
              <w:t>8.4 პარაგრაფში „სტრატეგიული გარემოსდაცვითი შეფასების“ 197-ე გვერდზე P.3.3 პროექტის „სტეფანწმინდა-მოზდოკის“ გრაფაში არასწორად არის მითითებული ქვესადგურ „სტეფანწმინდაში“ კავშირის ავტოტრანსფორმატორის მაღალი მხარის ძაბვის მნიშვნელობა.</w:t>
            </w:r>
          </w:p>
        </w:tc>
        <w:tc>
          <w:tcPr>
            <w:tcW w:w="4320" w:type="dxa"/>
            <w:tcBorders>
              <w:top w:val="single" w:sz="4" w:space="0" w:color="auto"/>
              <w:left w:val="single" w:sz="4" w:space="0" w:color="auto"/>
              <w:bottom w:val="single" w:sz="4" w:space="0" w:color="auto"/>
              <w:right w:val="single" w:sz="4" w:space="0" w:color="auto"/>
            </w:tcBorders>
          </w:tcPr>
          <w:p w:rsidR="00145E2F" w:rsidRPr="00D8612A" w:rsidRDefault="00D8612A" w:rsidP="00BB3903">
            <w:pPr>
              <w:spacing w:after="0" w:line="240" w:lineRule="auto"/>
              <w:ind w:left="9" w:hanging="9"/>
              <w:rPr>
                <w:rFonts w:ascii="Sylfaen" w:hAnsi="Sylfaen" w:cs="Sylfaen"/>
                <w:sz w:val="20"/>
                <w:szCs w:val="20"/>
              </w:rPr>
            </w:pPr>
            <w:r w:rsidRPr="004174EC">
              <w:rPr>
                <w:rFonts w:ascii="Sylfaen" w:hAnsi="Sylfaen" w:cs="Sylfaen"/>
                <w:sz w:val="20"/>
                <w:szCs w:val="20"/>
              </w:rPr>
              <w:t>13. შენიშვნა ქვესადგურ „სტეფანწმინდაში“ კავშირის ავტოტრანსფორმატორის მაღალი ძაბვის დონესთან დაკავშირებით მიღებულია და აღნიშნული მექანიკური ხარვეზი გამოსწორებულია.</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rPr>
                <w:rFonts w:ascii="Sylfaen" w:hAnsi="Sylfaen"/>
                <w:sz w:val="20"/>
                <w:szCs w:val="20"/>
              </w:rPr>
            </w:pPr>
            <w:r>
              <w:rPr>
                <w:rFonts w:ascii="Sylfaen" w:hAnsi="Sylfaen"/>
                <w:sz w:val="20"/>
                <w:szCs w:val="20"/>
              </w:rPr>
              <w:t xml:space="preserve">14. </w:t>
            </w:r>
            <w:r w:rsidRPr="00D8612A">
              <w:rPr>
                <w:rFonts w:ascii="Sylfaen" w:hAnsi="Sylfaen"/>
                <w:sz w:val="20"/>
                <w:szCs w:val="20"/>
              </w:rPr>
              <w:t>8.4 პარაგრაფში „სტრატეგიული გარემოსდაცვითი შეფასების“ 207-ე გვერდზე P.7.8 პროექტში „110 კვ ეგხ „ნენსკრა-მესტია“ აღნიშნულია, რომ პროექტის ძირითადი მიზანია „ნენსკრაჰესიდან“ მიღებული ენერგიის საიმედო ინტეგრაცია ქსელში. ჩვენი აზრით, ეს ჩანაწერი არაგონივრულია, ვინაიდან „ნენსკრაჰესი“ 500 კვ-იან ქვესადგურ „ნენსკრაში“ შედის 1 კმ სიგრძის ორჯაჭვა 220 კვ ძაბვის ხაზით, ე.ი. n-1 კრიტერიუმი დაცულია, ხოლო სვანეთის მიმართულებით „ნენსკრაჰესის“ ენერგიის გატანა ძნელად მოსახერხებელია, რადგან 57 კმ ორჯაჭვა 110 კვ ძაბვის ხაზით 280 მგვტ-ის გატანა ტექნიკურად რთულია, მით უმეტეს, რომ მესტიაში უკვე ექსპლუატაციაშია ახალი ჰიდროელექტროსადგურები, რომელსაც კავშირი აქვს ლაჯანურის ქვესადგურთან მხოლოდ ერთი 110 კვ ძაბვის ეგხ-თი.</w:t>
            </w:r>
          </w:p>
        </w:tc>
        <w:tc>
          <w:tcPr>
            <w:tcW w:w="43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ind w:left="9" w:hanging="9"/>
              <w:rPr>
                <w:rFonts w:ascii="Sylfaen" w:hAnsi="Sylfaen" w:cs="Sylfaen"/>
                <w:sz w:val="20"/>
                <w:szCs w:val="20"/>
              </w:rPr>
            </w:pPr>
            <w:r>
              <w:rPr>
                <w:rFonts w:ascii="Sylfaen" w:hAnsi="Sylfaen" w:cs="Sylfaen"/>
                <w:sz w:val="20"/>
                <w:szCs w:val="20"/>
              </w:rPr>
              <w:t xml:space="preserve">14. </w:t>
            </w:r>
            <w:r w:rsidRPr="00D8612A">
              <w:rPr>
                <w:rFonts w:ascii="Sylfaen" w:hAnsi="Sylfaen" w:cs="Sylfaen"/>
                <w:sz w:val="20"/>
                <w:szCs w:val="20"/>
              </w:rPr>
              <w:t>შენიშვნა „სტრატეგიული გარემოსდაცვითი შეფასების“ ნაწილში „110 კვ ეგხ „ნენსკრა-მესტიის“ პროექტის მიზანთან დაკავშირებით მიღებული და გათვალისწინებულია.</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rPr>
                <w:rFonts w:ascii="Sylfaen" w:hAnsi="Sylfaen"/>
                <w:sz w:val="20"/>
                <w:szCs w:val="20"/>
              </w:rPr>
            </w:pPr>
            <w:r>
              <w:rPr>
                <w:rFonts w:ascii="Sylfaen" w:hAnsi="Sylfaen"/>
                <w:sz w:val="20"/>
                <w:szCs w:val="20"/>
              </w:rPr>
              <w:t xml:space="preserve">15. </w:t>
            </w:r>
            <w:r w:rsidRPr="00D8612A">
              <w:rPr>
                <w:rFonts w:ascii="Sylfaen" w:hAnsi="Sylfaen"/>
                <w:sz w:val="20"/>
                <w:szCs w:val="20"/>
              </w:rPr>
              <w:t>გეგმის 36-ე, 135-ე და 197-ე გვერდებზე პროექტის „ბათუმი-ახალციხეს“ ექსპლუატაციაში შესვლის თარიღებად მითითებულია განსხვავებული ვადები -2021 და 2023 წლები;</w:t>
            </w:r>
          </w:p>
        </w:tc>
        <w:tc>
          <w:tcPr>
            <w:tcW w:w="4320" w:type="dxa"/>
            <w:tcBorders>
              <w:top w:val="single" w:sz="4" w:space="0" w:color="auto"/>
              <w:left w:val="single" w:sz="4" w:space="0" w:color="auto"/>
              <w:bottom w:val="single" w:sz="4" w:space="0" w:color="auto"/>
              <w:right w:val="single" w:sz="4" w:space="0" w:color="auto"/>
            </w:tcBorders>
          </w:tcPr>
          <w:p w:rsidR="00145E2F" w:rsidRPr="00D8612A" w:rsidRDefault="00D8612A" w:rsidP="00D45CFB">
            <w:pPr>
              <w:spacing w:after="0" w:line="240" w:lineRule="auto"/>
              <w:ind w:left="9" w:hanging="9"/>
              <w:rPr>
                <w:rFonts w:ascii="Sylfaen" w:hAnsi="Sylfaen" w:cs="Sylfaen"/>
                <w:sz w:val="20"/>
                <w:szCs w:val="20"/>
              </w:rPr>
            </w:pPr>
            <w:r>
              <w:rPr>
                <w:rFonts w:ascii="Sylfaen" w:hAnsi="Sylfaen" w:cs="Sylfaen"/>
                <w:sz w:val="20"/>
                <w:szCs w:val="20"/>
              </w:rPr>
              <w:t xml:space="preserve">15. </w:t>
            </w:r>
            <w:r w:rsidR="00F53161" w:rsidRPr="00F53161">
              <w:rPr>
                <w:rFonts w:ascii="Sylfaen" w:hAnsi="Sylfaen" w:cs="Sylfaen"/>
                <w:sz w:val="20"/>
                <w:szCs w:val="20"/>
              </w:rPr>
              <w:t>შენიშვნას „ბათუმი-ახალციხეს“ ექსპლუატაციაში შესვლის დროსთან დაკავშირებით არ ვეთანხმებით, პროექტი ,,ბათუმი-ახალციხე“ შედგება ორი ელემენტისგან ექსპლუატაციაში  შესვლის განსხვავებული თარიღებით: ა) P.2.1 ორჯაჭვა 220 კვ ეგხ შუახევი-ახალციხე 2021 წ. (გვ. 36, 3.2 პუნქტში გაკეთებულია შესაბამისი განმარტება); ბ) P.2.2  220/110/35 კვ ავტოტრანსფორმატორი შუახევში - 2023 წ.</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F53161" w:rsidRDefault="00F53161" w:rsidP="00D45CFB">
            <w:pPr>
              <w:spacing w:after="0" w:line="240" w:lineRule="auto"/>
              <w:rPr>
                <w:rFonts w:ascii="Sylfaen" w:hAnsi="Sylfaen"/>
                <w:sz w:val="20"/>
                <w:szCs w:val="20"/>
              </w:rPr>
            </w:pPr>
            <w:r>
              <w:rPr>
                <w:rFonts w:ascii="Sylfaen" w:hAnsi="Sylfaen"/>
                <w:sz w:val="20"/>
                <w:szCs w:val="20"/>
              </w:rPr>
              <w:t xml:space="preserve">16. </w:t>
            </w:r>
            <w:r w:rsidRPr="00F53161">
              <w:rPr>
                <w:rFonts w:ascii="Sylfaen" w:hAnsi="Sylfaen"/>
                <w:sz w:val="20"/>
                <w:szCs w:val="20"/>
              </w:rPr>
              <w:t>P.9</w:t>
            </w:r>
            <w:r>
              <w:rPr>
                <w:rFonts w:ascii="Sylfaen" w:hAnsi="Sylfaen"/>
                <w:sz w:val="20"/>
                <w:szCs w:val="20"/>
              </w:rPr>
              <w:t>.1</w:t>
            </w:r>
            <w:r w:rsidRPr="00F53161">
              <w:rPr>
                <w:rFonts w:ascii="Sylfaen" w:hAnsi="Sylfaen"/>
                <w:sz w:val="20"/>
                <w:szCs w:val="20"/>
              </w:rPr>
              <w:t xml:space="preserve"> პროექტის „ახალციხე-თორთუმი“ განმარტებით ნაწილში 400 კვ ხაზის გამტარუნარიანობად 1850 მგვტ არის მითითებული, იმ დროს როცა B2B-ის ჯამური სიმძლავრე „ახალციხის“ ქვესადგურში 1050 მგვტ-ია;</w:t>
            </w:r>
          </w:p>
        </w:tc>
        <w:tc>
          <w:tcPr>
            <w:tcW w:w="4320" w:type="dxa"/>
            <w:tcBorders>
              <w:top w:val="single" w:sz="4" w:space="0" w:color="auto"/>
              <w:left w:val="single" w:sz="4" w:space="0" w:color="auto"/>
              <w:bottom w:val="single" w:sz="4" w:space="0" w:color="auto"/>
              <w:right w:val="single" w:sz="4" w:space="0" w:color="auto"/>
            </w:tcBorders>
          </w:tcPr>
          <w:p w:rsidR="00145E2F" w:rsidRPr="00F53161" w:rsidRDefault="00F53161" w:rsidP="00BB3903">
            <w:pPr>
              <w:spacing w:after="0" w:line="240" w:lineRule="auto"/>
              <w:ind w:left="9" w:hanging="9"/>
              <w:rPr>
                <w:rFonts w:ascii="Sylfaen" w:hAnsi="Sylfaen" w:cs="Sylfaen"/>
                <w:sz w:val="20"/>
                <w:szCs w:val="20"/>
              </w:rPr>
            </w:pPr>
            <w:r>
              <w:rPr>
                <w:rFonts w:ascii="Sylfaen" w:hAnsi="Sylfaen" w:cs="Sylfaen"/>
                <w:sz w:val="20"/>
                <w:szCs w:val="20"/>
              </w:rPr>
              <w:t xml:space="preserve">16. </w:t>
            </w:r>
            <w:r w:rsidRPr="00F53161">
              <w:rPr>
                <w:rFonts w:ascii="Sylfaen" w:hAnsi="Sylfaen" w:cs="Sylfaen"/>
                <w:sz w:val="20"/>
                <w:szCs w:val="20"/>
              </w:rPr>
              <w:t>დაგეგმილია 400 კვ ეგხ ,,ახალციხე-თორთუმის“ შესრულება იგივე სადენით (3xAC-500), რაც გააჩნია არსებულ 400 კვ ეგხ „ახალციხე-ბორჩხას“, ამ ხაზების სრულფასოვანი ურთიერთდარეზერვების (N-1 პირობის) უზრუნველყოფისთვის. ამდენად,  ეგხ ,,ახალციხე-თორთუმის“ დაგეგმილი გამტარუნარიანობაც დაახლოებით 1800 მგვტ-მდეა. თუმცა, ახალციხის ქვესადგურიდან თურქეთის მიმართულებით სიმძლავრის მიმოცვლის უნარი იზღუდება B2B-ს ჯამური დადგმული სიმძლავრით (ორი არსებული და ერთი პერსპექტიული ბლოკი, ჯამში 1050 მგვტ).</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F53161" w:rsidRDefault="00F53161" w:rsidP="00D45CFB">
            <w:pPr>
              <w:spacing w:after="0" w:line="240" w:lineRule="auto"/>
              <w:rPr>
                <w:rFonts w:ascii="Sylfaen" w:hAnsi="Sylfaen"/>
                <w:sz w:val="20"/>
                <w:szCs w:val="20"/>
              </w:rPr>
            </w:pPr>
            <w:r>
              <w:rPr>
                <w:rFonts w:ascii="Sylfaen" w:hAnsi="Sylfaen"/>
                <w:sz w:val="20"/>
                <w:szCs w:val="20"/>
              </w:rPr>
              <w:t xml:space="preserve">17. </w:t>
            </w:r>
            <w:r w:rsidRPr="00F53161">
              <w:rPr>
                <w:rFonts w:ascii="Sylfaen" w:hAnsi="Sylfaen"/>
                <w:sz w:val="20"/>
                <w:szCs w:val="20"/>
              </w:rPr>
              <w:t>პროექტი „გარდაბანი-აღსტაფა“ ქვესადგურ გარდაბანში ახალი 330/220 კვ ძაბვის 400 მგვა სიმძლავრის ავტოტრანსფორმატორის 2022 წელს ექსპლუატაციაში შეყვანა შეაფერხებს ეგხ „გარდაბანი-აღსტაფა“-ს სრული პოტენციალით გამოყენებას მინიმუმ 1 წლით, რადგან სს გეს „საქრუსენერგოს“ 2019-2021 წლების საინვესტიციო გეგმით აღნიშნული ხაზის რეაბილიტაცია/რეკონსტრუქცია სრულდება 2021 წლის ოქტომბერში.</w:t>
            </w:r>
          </w:p>
        </w:tc>
        <w:tc>
          <w:tcPr>
            <w:tcW w:w="4320" w:type="dxa"/>
            <w:tcBorders>
              <w:top w:val="single" w:sz="4" w:space="0" w:color="auto"/>
              <w:left w:val="single" w:sz="4" w:space="0" w:color="auto"/>
              <w:bottom w:val="single" w:sz="4" w:space="0" w:color="auto"/>
              <w:right w:val="single" w:sz="4" w:space="0" w:color="auto"/>
            </w:tcBorders>
          </w:tcPr>
          <w:p w:rsidR="00145E2F" w:rsidRPr="00F53161" w:rsidRDefault="00F53161" w:rsidP="00BB3903">
            <w:pPr>
              <w:spacing w:after="0" w:line="240" w:lineRule="auto"/>
              <w:ind w:left="9" w:hanging="9"/>
              <w:rPr>
                <w:rFonts w:ascii="Sylfaen" w:hAnsi="Sylfaen" w:cs="Sylfaen"/>
                <w:sz w:val="20"/>
                <w:szCs w:val="20"/>
              </w:rPr>
            </w:pPr>
            <w:r>
              <w:rPr>
                <w:rFonts w:ascii="Sylfaen" w:hAnsi="Sylfaen" w:cs="Sylfaen"/>
                <w:sz w:val="20"/>
                <w:szCs w:val="20"/>
              </w:rPr>
              <w:t xml:space="preserve">17. </w:t>
            </w:r>
            <w:r w:rsidRPr="00F53161">
              <w:rPr>
                <w:rFonts w:ascii="Sylfaen" w:hAnsi="Sylfaen" w:cs="Sylfaen"/>
                <w:sz w:val="20"/>
                <w:szCs w:val="20"/>
              </w:rPr>
              <w:t>საქრუსენერგოსთან კომუნიკაციის შედეგად, ხსენებული ავტოტრანსფორმატორის ექსპლუატაციაში შეყვანის თარიღად განისაზღვრა 2021 წელი (აისახა ათწლიან გეგმაში).</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145E2F" w:rsidRPr="004566FD" w:rsidRDefault="00145E2F"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145E2F" w:rsidRPr="00F53161" w:rsidRDefault="00F53161" w:rsidP="00D45CFB">
            <w:pPr>
              <w:spacing w:after="0" w:line="240" w:lineRule="auto"/>
              <w:rPr>
                <w:rFonts w:ascii="Sylfaen" w:hAnsi="Sylfaen"/>
                <w:sz w:val="20"/>
                <w:szCs w:val="20"/>
              </w:rPr>
            </w:pPr>
            <w:r>
              <w:rPr>
                <w:rFonts w:ascii="Sylfaen" w:hAnsi="Sylfaen"/>
                <w:sz w:val="20"/>
                <w:szCs w:val="20"/>
              </w:rPr>
              <w:t xml:space="preserve">18. </w:t>
            </w:r>
            <w:r w:rsidRPr="00F53161">
              <w:rPr>
                <w:rFonts w:ascii="Sylfaen" w:hAnsi="Sylfaen"/>
                <w:sz w:val="20"/>
                <w:szCs w:val="20"/>
              </w:rPr>
              <w:t>სს „საქართველოს სახელმწიფო ელექტროსისტემამ“ 2019 წლის 15 ოქტომბერს №4611/17 წერილით კომისიას აცნობა, რომ ცვლილება შეიტანა გეგმაში და პროექტს P.13-ს „ქვესადგურების განახლება“ დაამატა პროექტი P.13.1 – „110 კვ ძაბვის ორი უჯრედის მოწყობა ქვესადგურ „ზესტაფონში“, რაც განკუთვნილია სს „ენერგო-პრო ჯორჯიას“ კუთვნილი 110 კვ ორჯაჭვა ეგხ „დილიკაურის“ მიერთებისთვის. აღნიშნულ ხაზზე იგეგმება 100 მგვტ სიმძლავრის ქარის ელექტროსადგურ „იმერეთის“ შეჭრა. სს სსე-ს მიერ ქვესადგურ „ზესტაფონი 500/220/110“-ში ორი უჯრედის მოწყობა და მისი შეტანა გეგმაში არ არის სრულ შესაბამისობაში კომისიის 2014 წლის 17 აპრილის №10 დადგენილებით დამტკიცებული „ქსელის წესების“ მე-2 თავის მოთხოვნებთან;</w:t>
            </w:r>
          </w:p>
        </w:tc>
        <w:tc>
          <w:tcPr>
            <w:tcW w:w="4320" w:type="dxa"/>
            <w:tcBorders>
              <w:top w:val="single" w:sz="4" w:space="0" w:color="auto"/>
              <w:left w:val="single" w:sz="4" w:space="0" w:color="auto"/>
              <w:bottom w:val="single" w:sz="4" w:space="0" w:color="auto"/>
              <w:right w:val="single" w:sz="4" w:space="0" w:color="auto"/>
            </w:tcBorders>
          </w:tcPr>
          <w:p w:rsidR="00145E2F" w:rsidRPr="00F53161" w:rsidRDefault="00F53161" w:rsidP="00ED7AA8">
            <w:pPr>
              <w:spacing w:after="0" w:line="240" w:lineRule="auto"/>
              <w:ind w:left="9" w:hanging="9"/>
              <w:rPr>
                <w:rFonts w:ascii="Sylfaen" w:hAnsi="Sylfaen" w:cs="Sylfaen"/>
                <w:sz w:val="20"/>
                <w:szCs w:val="20"/>
              </w:rPr>
            </w:pPr>
            <w:r>
              <w:rPr>
                <w:rFonts w:ascii="Sylfaen" w:hAnsi="Sylfaen" w:cs="Sylfaen"/>
                <w:sz w:val="20"/>
                <w:szCs w:val="20"/>
              </w:rPr>
              <w:t>18</w:t>
            </w:r>
            <w:r w:rsidR="00BB3903">
              <w:rPr>
                <w:rFonts w:ascii="Sylfaen" w:hAnsi="Sylfaen" w:cs="Sylfaen"/>
                <w:sz w:val="20"/>
                <w:szCs w:val="20"/>
                <w:lang w:val="ka-GE"/>
              </w:rPr>
              <w:t xml:space="preserve">. </w:t>
            </w:r>
            <w:r w:rsidRPr="00F53161">
              <w:rPr>
                <w:rFonts w:ascii="Sylfaen" w:hAnsi="Sylfaen" w:cs="Sylfaen"/>
                <w:sz w:val="20"/>
                <w:szCs w:val="20"/>
              </w:rPr>
              <w:t>„ენერგო-პრო ჯორჯია“-ს ხსენებული მოთხოვნა არის არასტანდარტული. აქვე უნდა აღინიშნოს, რომ პროექტის დროულად განხორციელებისთვის ტექნიკურად შესაძლებელია აღნიშნული პროექტები განხორციელდეს სსე-ს მიერ საკუთარი სახსრებით. მაგრამ, ამის უზრუნველსაყოფად აუცილებელი იქნება განისაზღვროს გასაწევი ხარჯების დაფინანსების წყარო (მაგალითისთვის, სსე-ს გადაცემის მომსახურების ტარიფში ასახვა, გრანტის ან საკრედიტო რესურსის გამოყოფა ან/და საბიუჯეტო ასიგნება), რის თაობაზეც</w:t>
            </w:r>
            <w:r w:rsidR="00A8167B">
              <w:rPr>
                <w:rFonts w:ascii="Sylfaen" w:hAnsi="Sylfaen" w:cs="Sylfaen"/>
                <w:sz w:val="20"/>
                <w:szCs w:val="20"/>
                <w:lang w:val="ka-GE"/>
              </w:rPr>
              <w:t xml:space="preserve"> </w:t>
            </w:r>
            <w:r w:rsidRPr="00A8167B">
              <w:rPr>
                <w:rFonts w:ascii="Sylfaen" w:hAnsi="Sylfaen" w:cs="Sylfaen"/>
                <w:sz w:val="20"/>
                <w:szCs w:val="20"/>
              </w:rPr>
              <w:t>სსე-სგან N 5562/1 წერილით ეცნობა ეკონომიკისა და მდგრადი განვითარების სამინისტ</w:t>
            </w:r>
            <w:r w:rsidRPr="00ED7AA8">
              <w:rPr>
                <w:rFonts w:ascii="Sylfaen" w:hAnsi="Sylfaen" w:cs="Sylfaen"/>
                <w:color w:val="000000" w:themeColor="text1"/>
                <w:sz w:val="20"/>
                <w:szCs w:val="20"/>
              </w:rPr>
              <w:t>როს</w:t>
            </w:r>
            <w:r w:rsidR="00A8167B" w:rsidRPr="00ED7AA8">
              <w:rPr>
                <w:rFonts w:ascii="Sylfaen" w:hAnsi="Sylfaen" w:cs="Sylfaen"/>
                <w:color w:val="000000" w:themeColor="text1"/>
                <w:sz w:val="20"/>
                <w:szCs w:val="20"/>
              </w:rPr>
              <w:t xml:space="preserve">, და </w:t>
            </w:r>
            <w:r w:rsidR="00A8167B" w:rsidRPr="00ED7AA8">
              <w:rPr>
                <w:rFonts w:ascii="Sylfaen" w:hAnsi="Sylfaen" w:cs="Sylfaen"/>
                <w:color w:val="000000" w:themeColor="text1"/>
                <w:sz w:val="20"/>
                <w:szCs w:val="20"/>
                <w:lang w:val="ka-GE"/>
              </w:rPr>
              <w:t xml:space="preserve"> „</w:t>
            </w:r>
            <w:r w:rsidR="00ED7AA8" w:rsidRPr="00ED7AA8">
              <w:rPr>
                <w:rFonts w:ascii="Sylfaen" w:hAnsi="Sylfaen" w:cs="Sylfaen"/>
                <w:color w:val="000000" w:themeColor="text1"/>
                <w:sz w:val="20"/>
                <w:szCs w:val="20"/>
              </w:rPr>
              <w:t xml:space="preserve">N </w:t>
            </w:r>
            <w:r w:rsidR="00ED7AA8" w:rsidRPr="00ED7AA8">
              <w:rPr>
                <w:rFonts w:ascii="Sylfaen" w:hAnsi="Sylfaen" w:cs="Sylfaen"/>
                <w:color w:val="000000" w:themeColor="text1"/>
                <w:sz w:val="20"/>
                <w:szCs w:val="20"/>
                <w:lang w:val="ka-GE"/>
              </w:rPr>
              <w:t>23/10106</w:t>
            </w:r>
            <w:r w:rsidR="00A8167B" w:rsidRPr="00ED7AA8">
              <w:rPr>
                <w:rFonts w:ascii="Sylfaen" w:hAnsi="Sylfaen" w:cs="Sylfaen"/>
                <w:color w:val="000000" w:themeColor="text1"/>
                <w:sz w:val="20"/>
                <w:szCs w:val="20"/>
                <w:lang w:val="ka-GE"/>
              </w:rPr>
              <w:t xml:space="preserve">“ წერილით  სამინისტროსგან </w:t>
            </w:r>
            <w:r w:rsidR="00A8167B" w:rsidRPr="00ED7AA8">
              <w:rPr>
                <w:rFonts w:ascii="Sylfaen" w:hAnsi="Sylfaen" w:cs="Sylfaen"/>
                <w:color w:val="000000" w:themeColor="text1"/>
                <w:sz w:val="20"/>
                <w:szCs w:val="20"/>
              </w:rPr>
              <w:t xml:space="preserve">მიღებული იქნა მოსაზრება ამ პროექტის სსე-ის </w:t>
            </w:r>
            <w:r w:rsidR="00A8167B" w:rsidRPr="00ED7AA8">
              <w:rPr>
                <w:rFonts w:ascii="Sylfaen" w:hAnsi="Sylfaen" w:cs="Sylfaen"/>
                <w:color w:val="000000" w:themeColor="text1"/>
                <w:sz w:val="20"/>
                <w:szCs w:val="20"/>
                <w:lang w:val="ka-GE"/>
              </w:rPr>
              <w:t>რესურსით</w:t>
            </w:r>
            <w:r w:rsidR="00A8167B" w:rsidRPr="00ED7AA8">
              <w:rPr>
                <w:rFonts w:ascii="Sylfaen" w:hAnsi="Sylfaen" w:cs="Sylfaen"/>
                <w:color w:val="000000" w:themeColor="text1"/>
                <w:sz w:val="20"/>
                <w:szCs w:val="20"/>
              </w:rPr>
              <w:t xml:space="preserve"> მშენებლობის შესახებ</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D45CFB" w:rsidRPr="004566FD" w:rsidRDefault="00D45CFB"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D45CFB" w:rsidRPr="00F53161" w:rsidRDefault="00F53161" w:rsidP="00D45CFB">
            <w:pPr>
              <w:spacing w:after="0" w:line="240" w:lineRule="auto"/>
              <w:rPr>
                <w:rFonts w:ascii="Sylfaen" w:hAnsi="Sylfaen"/>
                <w:sz w:val="20"/>
                <w:szCs w:val="20"/>
              </w:rPr>
            </w:pPr>
            <w:r>
              <w:rPr>
                <w:rFonts w:ascii="Sylfaen" w:hAnsi="Sylfaen"/>
                <w:sz w:val="20"/>
                <w:szCs w:val="20"/>
              </w:rPr>
              <w:t xml:space="preserve">19. </w:t>
            </w:r>
            <w:r w:rsidRPr="00F53161">
              <w:rPr>
                <w:rFonts w:ascii="Sylfaen" w:hAnsi="Sylfaen"/>
                <w:sz w:val="20"/>
                <w:szCs w:val="20"/>
              </w:rPr>
              <w:t>გეგმაში საჭიროა წარმოდგენილი იყოს მეზობელი ქვეყნების ელექტროენერგეტიკული სექტორის და ქსელის განვითარების გეგმების ანალიზი, რაც მაღალი სანდოობით განაპირობებს ჩვენი ქვეყნის ტრანსსასაზღვრო ინფრასტრუქტურის პარამეტრებს, განვითარების გეგმებს, ასევე, მეზობელ სახელმწიფოებთან ელექტროენერგიის მიმოცვლის მოცულობებს;</w:t>
            </w:r>
          </w:p>
        </w:tc>
        <w:tc>
          <w:tcPr>
            <w:tcW w:w="4320" w:type="dxa"/>
            <w:tcBorders>
              <w:top w:val="single" w:sz="4" w:space="0" w:color="auto"/>
              <w:left w:val="single" w:sz="4" w:space="0" w:color="auto"/>
              <w:bottom w:val="single" w:sz="4" w:space="0" w:color="auto"/>
              <w:right w:val="single" w:sz="4" w:space="0" w:color="auto"/>
            </w:tcBorders>
          </w:tcPr>
          <w:p w:rsidR="00D45CFB" w:rsidRPr="00F53161" w:rsidRDefault="00F53161" w:rsidP="00ED7AA8">
            <w:pPr>
              <w:spacing w:after="0" w:line="240" w:lineRule="auto"/>
              <w:ind w:left="9" w:hanging="9"/>
              <w:rPr>
                <w:rFonts w:ascii="Sylfaen" w:hAnsi="Sylfaen" w:cs="Sylfaen"/>
                <w:sz w:val="20"/>
                <w:szCs w:val="20"/>
              </w:rPr>
            </w:pPr>
            <w:r w:rsidRPr="00F53161">
              <w:rPr>
                <w:rFonts w:ascii="Sylfaen" w:hAnsi="Sylfaen" w:cs="Sylfaen"/>
                <w:sz w:val="20"/>
                <w:szCs w:val="20"/>
              </w:rPr>
              <w:t>19. მეზობელი ქვეყნების ელექტროენერგეტიკული სექტორის და ქსელის განვითარების გეგმების ანალიზის</w:t>
            </w:r>
            <w:r w:rsidR="00D44918">
              <w:rPr>
                <w:rFonts w:ascii="Sylfaen" w:hAnsi="Sylfaen" w:cs="Sylfaen"/>
                <w:sz w:val="20"/>
                <w:szCs w:val="20"/>
                <w:lang w:val="ka-GE"/>
              </w:rPr>
              <w:t xml:space="preserve"> შესახებ</w:t>
            </w:r>
            <w:r w:rsidR="00D44918">
              <w:rPr>
                <w:rFonts w:ascii="Sylfaen" w:hAnsi="Sylfaen" w:cs="Sylfaen"/>
                <w:color w:val="FF0000"/>
                <w:sz w:val="20"/>
                <w:szCs w:val="20"/>
                <w:lang w:val="ka-GE"/>
              </w:rPr>
              <w:t xml:space="preserve"> </w:t>
            </w:r>
            <w:r w:rsidR="00D44918" w:rsidRPr="00D44918">
              <w:rPr>
                <w:rFonts w:ascii="Sylfaen" w:hAnsi="Sylfaen" w:cs="Sylfaen"/>
                <w:color w:val="000000" w:themeColor="text1"/>
                <w:sz w:val="20"/>
                <w:szCs w:val="20"/>
                <w:lang w:val="ka-GE"/>
              </w:rPr>
              <w:t>ათწლიან გეგმაში</w:t>
            </w:r>
            <w:r w:rsidRPr="00D44918">
              <w:rPr>
                <w:rFonts w:ascii="Sylfaen" w:hAnsi="Sylfaen" w:cs="Sylfaen"/>
                <w:color w:val="000000" w:themeColor="text1"/>
                <w:sz w:val="20"/>
                <w:szCs w:val="20"/>
              </w:rPr>
              <w:t xml:space="preserve"> გათვალისწინებულია ამ მხრივ </w:t>
            </w:r>
            <w:r w:rsidRPr="00F53161">
              <w:rPr>
                <w:rFonts w:ascii="Sylfaen" w:hAnsi="Sylfaen" w:cs="Sylfaen"/>
                <w:sz w:val="20"/>
                <w:szCs w:val="20"/>
              </w:rPr>
              <w:t>დღეისათვის ხელმისაწვდომი ინფორმაცია.</w:t>
            </w: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D45CFB" w:rsidRPr="004566FD" w:rsidRDefault="00D45CFB"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D45CFB" w:rsidRPr="00F53161" w:rsidRDefault="00F53161" w:rsidP="00D45CFB">
            <w:pPr>
              <w:spacing w:after="0" w:line="240" w:lineRule="auto"/>
              <w:rPr>
                <w:rFonts w:ascii="Sylfaen" w:hAnsi="Sylfaen"/>
                <w:sz w:val="20"/>
                <w:szCs w:val="20"/>
              </w:rPr>
            </w:pPr>
            <w:r>
              <w:rPr>
                <w:rFonts w:ascii="Sylfaen" w:hAnsi="Sylfaen"/>
                <w:sz w:val="20"/>
                <w:szCs w:val="20"/>
              </w:rPr>
              <w:t xml:space="preserve">20. </w:t>
            </w:r>
            <w:r w:rsidRPr="00F53161">
              <w:rPr>
                <w:rFonts w:ascii="Sylfaen" w:hAnsi="Sylfaen"/>
                <w:sz w:val="20"/>
                <w:szCs w:val="20"/>
              </w:rPr>
              <w:t>ენერგოსისტემის მუშაობის რეჟიმების აღწერა არ შეესაბამება „ქსელის წესებს“, კერძოდ „ქსელის წესები“ არ ახდენს გეგმაში მოცემული ხუთი რეჟიმისთვის ცალკე სასისტემო პარამეტრების მნიშვნელობების განსაზღვრას. შესაბამისად, გაუგებარია თუ რა სახით გამოიყენება განვითარების დაგეგმარებისას აღნიშნული რეჟიმების კატეგორიზაცია. ასევე, ჩვენი აზრით, სისტემის განვითარებისას განსაკუთრებული ყურადღება გამახვილებულ უნდა იქნეს სისტემის იზოლირებულ რეჟიმში მუშაობის შემთხვევაზე;</w:t>
            </w:r>
          </w:p>
        </w:tc>
        <w:tc>
          <w:tcPr>
            <w:tcW w:w="4320" w:type="dxa"/>
            <w:tcBorders>
              <w:top w:val="single" w:sz="4" w:space="0" w:color="auto"/>
              <w:left w:val="single" w:sz="4" w:space="0" w:color="auto"/>
              <w:bottom w:val="single" w:sz="4" w:space="0" w:color="auto"/>
              <w:right w:val="single" w:sz="4" w:space="0" w:color="auto"/>
            </w:tcBorders>
          </w:tcPr>
          <w:p w:rsidR="00F53161" w:rsidRPr="00F53161" w:rsidRDefault="00F53161" w:rsidP="00F53161">
            <w:pPr>
              <w:spacing w:after="0"/>
              <w:rPr>
                <w:rFonts w:ascii="Sylfaen" w:eastAsia="Times New Roman" w:hAnsi="Sylfaen" w:cs="Sylfaen"/>
                <w:bCs/>
                <w:color w:val="000000"/>
                <w:sz w:val="20"/>
                <w:szCs w:val="20"/>
                <w:lang w:val="ka-GE"/>
              </w:rPr>
            </w:pPr>
            <w:r w:rsidRPr="00F53161">
              <w:rPr>
                <w:rFonts w:ascii="Sylfaen" w:hAnsi="Sylfaen" w:cs="Sylfaen"/>
                <w:sz w:val="20"/>
                <w:szCs w:val="20"/>
              </w:rPr>
              <w:t>20</w:t>
            </w:r>
            <w:r w:rsidRPr="00BB3903">
              <w:rPr>
                <w:rFonts w:ascii="Sylfaen" w:hAnsi="Sylfaen" w:cs="Sylfaen"/>
                <w:color w:val="000000" w:themeColor="text1"/>
                <w:sz w:val="20"/>
                <w:szCs w:val="20"/>
              </w:rPr>
              <w:t>.</w:t>
            </w:r>
            <w:r w:rsidRPr="00C51216">
              <w:rPr>
                <w:rFonts w:ascii="Sylfaen" w:hAnsi="Sylfaen" w:cs="Sylfaen"/>
                <w:color w:val="FF0000"/>
                <w:sz w:val="20"/>
                <w:szCs w:val="20"/>
              </w:rPr>
              <w:t xml:space="preserve"> </w:t>
            </w:r>
            <w:r w:rsidRPr="00F53161">
              <w:rPr>
                <w:rFonts w:ascii="Sylfaen" w:eastAsia="Times New Roman" w:hAnsi="Sylfaen" w:cs="Sylfaen"/>
                <w:bCs/>
                <w:color w:val="000000"/>
                <w:sz w:val="20"/>
                <w:szCs w:val="20"/>
                <w:lang w:val="ka-GE"/>
              </w:rPr>
              <w:t xml:space="preserve">ხსენებული ხუთი რეჟიმის არსებობა განპირობებულია ნებისმიერი ენერგოსისტემის ფიზიკური თვისებებით და ამდენად თავისთავად ცხადია. მათი კლასიფიკაცია ტექნიკური კრიტერიუმების მიხედვით მოცემულია ევროპულ ქსელის ოპერირების წესებში </w:t>
            </w:r>
            <w:r w:rsidRPr="00F53161">
              <w:rPr>
                <w:rFonts w:ascii="Sylfaen" w:eastAsia="Times New Roman" w:hAnsi="Sylfaen" w:cs="Sylfaen"/>
                <w:bCs/>
                <w:i/>
                <w:iCs/>
                <w:color w:val="000000"/>
                <w:sz w:val="20"/>
                <w:szCs w:val="20"/>
                <w:lang w:val="ka-GE"/>
              </w:rPr>
              <w:t>(ნაწილი II, მუხლი 18 - სისტემის მდგომარეობების კლასიფიკაცია</w:t>
            </w:r>
            <w:r w:rsidRPr="00F53161">
              <w:rPr>
                <w:rFonts w:ascii="Sylfaen" w:eastAsia="Times New Roman" w:hAnsi="Sylfaen" w:cs="Sylfaen"/>
                <w:bCs/>
                <w:color w:val="000000"/>
                <w:sz w:val="20"/>
                <w:szCs w:val="20"/>
                <w:lang w:val="ka-GE"/>
              </w:rPr>
              <w:t>, გვ. 21), გთხოვთ იხილოთ შესაბამისი ბმული:</w:t>
            </w:r>
          </w:p>
          <w:p w:rsidR="00F53161" w:rsidRPr="00F53161" w:rsidRDefault="00693BE9" w:rsidP="00F53161">
            <w:pPr>
              <w:widowControl w:val="0"/>
              <w:autoSpaceDE w:val="0"/>
              <w:autoSpaceDN w:val="0"/>
              <w:adjustRightInd w:val="0"/>
              <w:spacing w:after="0" w:line="240" w:lineRule="auto"/>
              <w:rPr>
                <w:rFonts w:ascii="Sylfaen" w:eastAsia="Times New Roman" w:hAnsi="Sylfaen" w:cs="Sylfaen"/>
                <w:bCs/>
                <w:color w:val="000000"/>
                <w:sz w:val="20"/>
                <w:szCs w:val="20"/>
                <w:lang w:val="ka-GE"/>
              </w:rPr>
            </w:pPr>
            <w:hyperlink r:id="rId10" w:history="1">
              <w:r w:rsidR="00F53161" w:rsidRPr="00F53161">
                <w:rPr>
                  <w:rFonts w:ascii="Sylfaen" w:eastAsia="Times New Roman" w:hAnsi="Sylfaen" w:cs="Sylfaen"/>
                  <w:bCs/>
                  <w:color w:val="0563C1"/>
                  <w:sz w:val="20"/>
                  <w:szCs w:val="20"/>
                  <w:u w:val="single"/>
                  <w:lang w:val="ka-GE"/>
                </w:rPr>
                <w:t>https://eur-lex.europa.eu/legal-</w:t>
              </w:r>
              <w:r w:rsidR="00F53161" w:rsidRPr="00F53161">
                <w:rPr>
                  <w:rFonts w:ascii="Sylfaen" w:eastAsia="Times New Roman" w:hAnsi="Sylfaen" w:cs="Sylfaen"/>
                  <w:bCs/>
                  <w:color w:val="0563C1"/>
                  <w:sz w:val="20"/>
                  <w:szCs w:val="20"/>
                  <w:u w:val="single"/>
                  <w:lang w:val="ka-GE"/>
                </w:rPr>
                <w:lastRenderedPageBreak/>
                <w:t>content/EN/TXT/PDF/?uri=CELEX:32017R1485&amp;from=EN</w:t>
              </w:r>
            </w:hyperlink>
          </w:p>
          <w:p w:rsidR="00F53161" w:rsidRPr="00F53161" w:rsidRDefault="00F53161" w:rsidP="00F53161">
            <w:pPr>
              <w:widowControl w:val="0"/>
              <w:autoSpaceDE w:val="0"/>
              <w:autoSpaceDN w:val="0"/>
              <w:adjustRightInd w:val="0"/>
              <w:spacing w:after="0" w:line="240" w:lineRule="auto"/>
              <w:rPr>
                <w:rFonts w:ascii="Sylfaen" w:eastAsia="Times New Roman" w:hAnsi="Sylfaen" w:cs="Sylfaen"/>
                <w:bCs/>
                <w:color w:val="000000"/>
                <w:sz w:val="20"/>
                <w:szCs w:val="20"/>
                <w:lang w:val="ka-GE"/>
              </w:rPr>
            </w:pPr>
            <w:r w:rsidRPr="00F53161">
              <w:rPr>
                <w:rFonts w:ascii="Sylfaen" w:eastAsia="Times New Roman" w:hAnsi="Sylfaen" w:cs="Sylfaen"/>
                <w:bCs/>
                <w:color w:val="000000"/>
                <w:sz w:val="20"/>
                <w:szCs w:val="20"/>
                <w:lang w:val="ka-GE"/>
              </w:rPr>
              <w:t>„ქსელის წესების“ სრულყოფის მიზნით, სსე-ს მიერ მიმდინარეობს ევროპული ქსელის ოპერირების წესის თარგმნისა და მისი დახვეწის პროცესი, რომლის შედეგადაც სემეკთან თანამშრომლობით მოხდება მისი ძალაში შესვლა.</w:t>
            </w:r>
          </w:p>
          <w:p w:rsidR="00F53161" w:rsidRPr="00F53161" w:rsidRDefault="00F53161" w:rsidP="00F53161">
            <w:pPr>
              <w:widowControl w:val="0"/>
              <w:autoSpaceDE w:val="0"/>
              <w:autoSpaceDN w:val="0"/>
              <w:adjustRightInd w:val="0"/>
              <w:spacing w:after="0" w:line="240" w:lineRule="auto"/>
              <w:rPr>
                <w:rFonts w:ascii="Sylfaen" w:eastAsia="Times New Roman" w:hAnsi="Sylfaen" w:cs="Sylfaen"/>
                <w:bCs/>
                <w:color w:val="000000"/>
                <w:sz w:val="20"/>
                <w:szCs w:val="20"/>
                <w:lang w:val="ka-GE"/>
              </w:rPr>
            </w:pPr>
            <w:r w:rsidRPr="00F53161">
              <w:rPr>
                <w:rFonts w:ascii="Sylfaen" w:eastAsia="Times New Roman" w:hAnsi="Sylfaen" w:cs="Sylfaen"/>
                <w:bCs/>
                <w:color w:val="000000"/>
                <w:sz w:val="20"/>
                <w:szCs w:val="20"/>
                <w:lang w:val="ka-GE"/>
              </w:rPr>
              <w:t>რაც შეეხება სისტემის განვითარების დაგეგმვას, ცხადად მოცემულია ათწლიანი გეგმის 6.1 ქვეთავში (განვითარების სტრატეგია), რომ დაგეგმვა ითვალისწინებს სისტემის მზაობას ხანგრძლივად იმუშაოს განცალკევებულ, იზოლირებულ რეჟიმში, რასაც ადასტურებს ხსენებული რეჟიმისთვის სსე-ს მიერ ჩატარებული სხვადასხვა სახის კვლევები (მაგ. გენერაციის ადეკვატურობის შეფასება, დინამიკური მდგრადობის ანგარიში).</w:t>
            </w:r>
            <w:r w:rsidR="00D44918">
              <w:rPr>
                <w:rFonts w:ascii="Sylfaen" w:eastAsia="Times New Roman" w:hAnsi="Sylfaen" w:cs="Sylfaen"/>
                <w:bCs/>
                <w:color w:val="000000"/>
                <w:sz w:val="20"/>
                <w:szCs w:val="20"/>
                <w:lang w:val="ka-GE"/>
              </w:rPr>
              <w:t xml:space="preserve"> </w:t>
            </w:r>
            <w:r w:rsidR="00D44918" w:rsidRPr="00ED7AA8">
              <w:rPr>
                <w:rFonts w:ascii="Sylfaen" w:eastAsia="Times New Roman" w:hAnsi="Sylfaen" w:cs="Sylfaen"/>
                <w:bCs/>
                <w:color w:val="000000" w:themeColor="text1"/>
                <w:sz w:val="20"/>
                <w:szCs w:val="20"/>
                <w:lang w:val="ka-GE"/>
              </w:rPr>
              <w:t>ამდენად, შენიშვნას არ ვეთანხმებით</w:t>
            </w:r>
          </w:p>
          <w:p w:rsidR="00D45CFB" w:rsidRPr="00F53161" w:rsidRDefault="00D45CFB" w:rsidP="00F53161">
            <w:pPr>
              <w:spacing w:after="0" w:line="240" w:lineRule="auto"/>
              <w:ind w:left="9" w:hanging="9"/>
              <w:rPr>
                <w:rFonts w:ascii="Sylfaen" w:hAnsi="Sylfaen" w:cs="Sylfaen"/>
                <w:sz w:val="20"/>
                <w:szCs w:val="20"/>
              </w:rPr>
            </w:pPr>
          </w:p>
        </w:tc>
      </w:tr>
      <w:tr w:rsidR="004566FD" w:rsidRPr="004566FD" w:rsidTr="004B61B6">
        <w:trPr>
          <w:trHeight w:val="1268"/>
        </w:trPr>
        <w:tc>
          <w:tcPr>
            <w:tcW w:w="1800" w:type="dxa"/>
            <w:tcBorders>
              <w:top w:val="single" w:sz="4" w:space="0" w:color="auto"/>
              <w:left w:val="single" w:sz="4" w:space="0" w:color="auto"/>
              <w:bottom w:val="single" w:sz="4" w:space="0" w:color="auto"/>
              <w:right w:val="single" w:sz="4" w:space="0" w:color="auto"/>
            </w:tcBorders>
          </w:tcPr>
          <w:p w:rsidR="00D45CFB" w:rsidRPr="004566FD" w:rsidRDefault="00D45CFB" w:rsidP="00D45CFB">
            <w:pPr>
              <w:spacing w:after="0" w:line="240" w:lineRule="auto"/>
              <w:jc w:val="center"/>
              <w:rPr>
                <w:rFonts w:ascii="Sylfaen" w:hAnsi="Sylfaen"/>
                <w:sz w:val="20"/>
                <w:szCs w:val="20"/>
                <w:lang w:val="ka-GE"/>
              </w:rPr>
            </w:pPr>
          </w:p>
        </w:tc>
        <w:tc>
          <w:tcPr>
            <w:tcW w:w="5220" w:type="dxa"/>
            <w:tcBorders>
              <w:top w:val="single" w:sz="4" w:space="0" w:color="auto"/>
              <w:left w:val="single" w:sz="4" w:space="0" w:color="auto"/>
              <w:bottom w:val="single" w:sz="4" w:space="0" w:color="auto"/>
              <w:right w:val="single" w:sz="4" w:space="0" w:color="auto"/>
            </w:tcBorders>
          </w:tcPr>
          <w:p w:rsidR="00D45CFB" w:rsidRPr="00F53161" w:rsidRDefault="00F53161" w:rsidP="00D45CFB">
            <w:pPr>
              <w:spacing w:after="0" w:line="240" w:lineRule="auto"/>
              <w:rPr>
                <w:rFonts w:ascii="Sylfaen" w:hAnsi="Sylfaen"/>
                <w:sz w:val="20"/>
                <w:szCs w:val="20"/>
              </w:rPr>
            </w:pPr>
            <w:r>
              <w:rPr>
                <w:rFonts w:ascii="Sylfaen" w:hAnsi="Sylfaen"/>
                <w:sz w:val="20"/>
                <w:szCs w:val="20"/>
              </w:rPr>
              <w:t xml:space="preserve">21. </w:t>
            </w:r>
            <w:r w:rsidRPr="00F53161">
              <w:rPr>
                <w:rFonts w:ascii="Sylfaen" w:hAnsi="Sylfaen"/>
                <w:sz w:val="20"/>
                <w:szCs w:val="20"/>
              </w:rPr>
              <w:t>გადამცემი ქსელით მოსარგებლე პირების მიერ აღნიშნულ დოკუმენტზე წარმოდგენილია შემდეგი შენიშვნები: ა) სს „საქართველოს განახლებადი ენერგიის კომპანია“ აღნიშნავს შემდეგს: „ბახვი-2 ჰესის“ დადგმული სიმძლავრე მთავრობასთან გაფორმებული მემორანდუმის მიხედვით არის 36 მგვტ, ათწლიან გეგმაში კი მითითებულია 20 მგვტ; „ბახვი-2 ჰესის“ წლიური გამომუშავებული ენერგია 123 გვტ.სთ-ია, ათწლიან გეგმაში მითითებულია 110 გვტ.სთ. ბ) სს „ენერგო-პრო ჯორჯიას“ მოსაზრებით: ქვესადგურ „ოზურგეთი 220-ის“ მშენებლობის დასრულება სასურველია 2021 წლის პირველ ნახევარში; „ჩრდილოეთის რგოლი-წყალტუბოს“ პროექტში ქვესადგურ „მესტიის“ გაფართოება, კერძოდ 110 კვ ძაბვის ხაზის მიყვანა და სამგრაგნილა ტრანსფორმატორის ჩართვა კრიტიკულად აუცილებელია განხორციელდეს 2020 წლის მაისამდე, ნაცვლად ათწლიან გეგმით გათვალისწინებული 2022--2026 წწ.; ათწლიან გეგმაში უზუსტობაა დაშვებული 2030 წლის მოხმარების პროგნოზში; ათწლიან გეგმით გათვალისწინებული ქვესადგურების „ონის“ და „შუახევის“ გამანაწილებელი ქსელის შესაბამისი კვების წყაროების მოწყობის სამუშაოები ნაცვლად 2023 წლისა მნიშვნელოვანია განხორციელდეს შესაძლო მოკლე ვადებში.</w:t>
            </w:r>
          </w:p>
        </w:tc>
        <w:tc>
          <w:tcPr>
            <w:tcW w:w="4320" w:type="dxa"/>
            <w:tcBorders>
              <w:top w:val="single" w:sz="4" w:space="0" w:color="auto"/>
              <w:left w:val="single" w:sz="4" w:space="0" w:color="auto"/>
              <w:bottom w:val="single" w:sz="4" w:space="0" w:color="auto"/>
              <w:right w:val="single" w:sz="4" w:space="0" w:color="auto"/>
            </w:tcBorders>
          </w:tcPr>
          <w:p w:rsidR="00F53161" w:rsidRPr="00F53161" w:rsidRDefault="00F53161" w:rsidP="00F53161">
            <w:pPr>
              <w:spacing w:after="0" w:line="240" w:lineRule="auto"/>
              <w:ind w:left="9" w:hanging="9"/>
              <w:rPr>
                <w:rFonts w:ascii="Sylfaen" w:hAnsi="Sylfaen" w:cs="Sylfaen"/>
                <w:sz w:val="20"/>
                <w:szCs w:val="20"/>
              </w:rPr>
            </w:pPr>
            <w:r>
              <w:rPr>
                <w:rFonts w:ascii="Sylfaen" w:hAnsi="Sylfaen" w:cs="Sylfaen"/>
                <w:sz w:val="20"/>
                <w:szCs w:val="20"/>
              </w:rPr>
              <w:t>21.</w:t>
            </w:r>
          </w:p>
          <w:p w:rsidR="00F53161" w:rsidRPr="009C75B5" w:rsidRDefault="00ED7AA8" w:rsidP="00F53161">
            <w:pPr>
              <w:spacing w:after="0" w:line="240" w:lineRule="auto"/>
              <w:ind w:left="9" w:hanging="9"/>
              <w:rPr>
                <w:rFonts w:ascii="Sylfaen" w:hAnsi="Sylfaen" w:cs="Sylfaen"/>
                <w:sz w:val="20"/>
                <w:szCs w:val="20"/>
                <w:lang w:val="ka-GE"/>
              </w:rPr>
            </w:pPr>
            <w:r w:rsidRPr="00ED7AA8">
              <w:rPr>
                <w:rFonts w:ascii="Sylfaen" w:hAnsi="Sylfaen" w:cs="Sylfaen"/>
                <w:color w:val="000000" w:themeColor="text1"/>
                <w:sz w:val="20"/>
                <w:szCs w:val="20"/>
                <w:lang w:val="ka-GE"/>
              </w:rPr>
              <w:t xml:space="preserve">ა. </w:t>
            </w:r>
            <w:r w:rsidR="00F53161" w:rsidRPr="00ED7AA8">
              <w:rPr>
                <w:rFonts w:ascii="Sylfaen" w:hAnsi="Sylfaen" w:cs="Sylfaen"/>
                <w:color w:val="000000" w:themeColor="text1"/>
                <w:sz w:val="20"/>
                <w:szCs w:val="20"/>
              </w:rPr>
              <w:t xml:space="preserve">გამომდინარე </w:t>
            </w:r>
            <w:r w:rsidR="00F53161" w:rsidRPr="00F53161">
              <w:rPr>
                <w:rFonts w:ascii="Sylfaen" w:hAnsi="Sylfaen" w:cs="Sylfaen"/>
                <w:sz w:val="20"/>
                <w:szCs w:val="20"/>
              </w:rPr>
              <w:t>საერთაშორისო პროექტების აუცილებელი ფორმალური პროცედურებისა, „ოზურგეთის“ პროექტის დასრულება შესაძლებელია არაუადრეს 2021 წლის ბოლოსი;</w:t>
            </w:r>
            <w:r w:rsidR="009C75B5">
              <w:rPr>
                <w:rFonts w:ascii="Sylfaen" w:hAnsi="Sylfaen" w:cs="Sylfaen"/>
                <w:sz w:val="20"/>
                <w:szCs w:val="20"/>
                <w:lang w:val="ka-GE"/>
              </w:rPr>
              <w:t xml:space="preserve"> </w:t>
            </w:r>
            <w:r w:rsidR="009C75B5" w:rsidRPr="004174EC">
              <w:rPr>
                <w:rFonts w:ascii="Sylfaen" w:hAnsi="Sylfaen" w:cs="Sylfaen"/>
                <w:sz w:val="20"/>
                <w:szCs w:val="20"/>
                <w:lang w:val="ka-GE"/>
              </w:rPr>
              <w:t xml:space="preserve">რაც შეეხება შენიშვნას ბახვი-1-თან დაკავშირებით </w:t>
            </w:r>
            <w:r w:rsidR="004174EC" w:rsidRPr="004174EC">
              <w:rPr>
                <w:rFonts w:ascii="Sylfaen" w:hAnsi="Sylfaen" w:cs="Sylfaen"/>
                <w:sz w:val="20"/>
                <w:szCs w:val="20"/>
                <w:lang w:val="ka-GE"/>
              </w:rPr>
              <w:t>მიღებული</w:t>
            </w:r>
            <w:r w:rsidR="009C75B5" w:rsidRPr="004174EC">
              <w:rPr>
                <w:rFonts w:ascii="Sylfaen" w:hAnsi="Sylfaen" w:cs="Sylfaen"/>
                <w:sz w:val="20"/>
                <w:szCs w:val="20"/>
                <w:lang w:val="ka-GE"/>
              </w:rPr>
              <w:t xml:space="preserve"> და გასწორებულია.</w:t>
            </w:r>
          </w:p>
          <w:p w:rsidR="00F53161" w:rsidRPr="00F53161" w:rsidRDefault="00F53161" w:rsidP="00F53161">
            <w:pPr>
              <w:spacing w:after="0" w:line="240" w:lineRule="auto"/>
              <w:ind w:left="9" w:hanging="9"/>
              <w:rPr>
                <w:rFonts w:ascii="Sylfaen" w:hAnsi="Sylfaen" w:cs="Sylfaen"/>
                <w:sz w:val="20"/>
                <w:szCs w:val="20"/>
              </w:rPr>
            </w:pPr>
            <w:r w:rsidRPr="00F53161">
              <w:rPr>
                <w:rFonts w:ascii="Sylfaen" w:hAnsi="Sylfaen" w:cs="Sylfaen"/>
                <w:sz w:val="20"/>
                <w:szCs w:val="20"/>
              </w:rPr>
              <w:t>ბ. შენიშვნაზე „ჩრდილოეთის რგოლი-წყალტუბოს“ პროექტში ქვესადგურ „მესტიის“ გაფართოების დასრულების დროსთან დაკავშირებით</w:t>
            </w:r>
            <w:r w:rsidR="00D44918" w:rsidRPr="00ED7AA8">
              <w:rPr>
                <w:rFonts w:ascii="Sylfaen" w:hAnsi="Sylfaen" w:cs="Sylfaen"/>
                <w:color w:val="000000" w:themeColor="text1"/>
                <w:sz w:val="20"/>
                <w:szCs w:val="20"/>
                <w:lang w:val="ka-GE"/>
              </w:rPr>
              <w:t xml:space="preserve"> აღსანიშნავია</w:t>
            </w:r>
            <w:r w:rsidRPr="00ED7AA8">
              <w:rPr>
                <w:rFonts w:ascii="Sylfaen" w:hAnsi="Sylfaen" w:cs="Sylfaen"/>
                <w:color w:val="000000" w:themeColor="text1"/>
                <w:sz w:val="20"/>
                <w:szCs w:val="20"/>
              </w:rPr>
              <w:t xml:space="preserve">, </w:t>
            </w:r>
            <w:r w:rsidRPr="00D44918">
              <w:rPr>
                <w:rFonts w:ascii="Sylfaen" w:hAnsi="Sylfaen" w:cs="Sylfaen"/>
                <w:sz w:val="20"/>
                <w:szCs w:val="20"/>
              </w:rPr>
              <w:t>რომ</w:t>
            </w:r>
            <w:r w:rsidRPr="00D44918">
              <w:rPr>
                <w:rFonts w:ascii="Sylfaen" w:hAnsi="Sylfaen" w:cs="Sylfaen"/>
                <w:color w:val="FF0000"/>
                <w:sz w:val="20"/>
                <w:szCs w:val="20"/>
              </w:rPr>
              <w:t xml:space="preserve"> </w:t>
            </w:r>
            <w:r w:rsidRPr="00F53161">
              <w:rPr>
                <w:rFonts w:ascii="Sylfaen" w:hAnsi="Sylfaen" w:cs="Sylfaen"/>
                <w:sz w:val="20"/>
                <w:szCs w:val="20"/>
              </w:rPr>
              <w:t>სვანეთის ჰესების სიმძლავრის გამოსატანად 2022 წლამდე სსე-ს კუთვნილი ქსელის ეგხ ,,ხუდონი“-ს და ეგხ ,,იფარი“-ს საოპერაციო ზღვრები საკმარისია, ხოლო 2022 წლისთვის დაგეგმილია ქ/ს მესტიის გაფართოება 110 კვ ფრთით, ტრ-ის დადგმა და ეგხ ,,მესტია-კახარის“ გადაყვანა 110 კვ-ზე. დანარჩენი ქსელი სვანეთში (ხუდონიდან მესტიამდე) სს ,,ენერგო-პრო ჯორჯიას კუთვნილებაშია.</w:t>
            </w:r>
          </w:p>
          <w:p w:rsidR="00F53161" w:rsidRPr="00F53161" w:rsidRDefault="00F53161" w:rsidP="00F53161">
            <w:pPr>
              <w:spacing w:after="0" w:line="240" w:lineRule="auto"/>
              <w:ind w:left="9" w:hanging="9"/>
              <w:rPr>
                <w:rFonts w:ascii="Sylfaen" w:hAnsi="Sylfaen" w:cs="Sylfaen"/>
                <w:sz w:val="20"/>
                <w:szCs w:val="20"/>
              </w:rPr>
            </w:pPr>
            <w:r w:rsidRPr="00F53161">
              <w:rPr>
                <w:rFonts w:ascii="Sylfaen" w:hAnsi="Sylfaen" w:cs="Sylfaen"/>
                <w:sz w:val="20"/>
                <w:szCs w:val="20"/>
              </w:rPr>
              <w:t>გ. შენიშვნაზე შუახევში ავტოტრანსფორმატორის მო</w:t>
            </w:r>
            <w:r w:rsidRPr="00ED7AA8">
              <w:rPr>
                <w:rFonts w:ascii="Sylfaen" w:hAnsi="Sylfaen" w:cs="Sylfaen"/>
                <w:color w:val="000000" w:themeColor="text1"/>
                <w:sz w:val="20"/>
                <w:szCs w:val="20"/>
              </w:rPr>
              <w:t>ნტაჟ</w:t>
            </w:r>
            <w:r w:rsidR="00D44918" w:rsidRPr="00ED7AA8">
              <w:rPr>
                <w:rFonts w:ascii="Sylfaen" w:hAnsi="Sylfaen" w:cs="Sylfaen"/>
                <w:color w:val="000000" w:themeColor="text1"/>
                <w:sz w:val="20"/>
                <w:szCs w:val="20"/>
                <w:lang w:val="ka-GE"/>
              </w:rPr>
              <w:t>ის</w:t>
            </w:r>
            <w:r w:rsidR="00D44918">
              <w:rPr>
                <w:rFonts w:ascii="Sylfaen" w:hAnsi="Sylfaen" w:cs="Sylfaen"/>
                <w:color w:val="0070C0"/>
                <w:sz w:val="20"/>
                <w:szCs w:val="20"/>
                <w:lang w:val="ka-GE"/>
              </w:rPr>
              <w:t xml:space="preserve"> </w:t>
            </w:r>
            <w:r w:rsidRPr="00F53161">
              <w:rPr>
                <w:rFonts w:ascii="Sylfaen" w:hAnsi="Sylfaen" w:cs="Sylfaen"/>
                <w:sz w:val="20"/>
                <w:szCs w:val="20"/>
              </w:rPr>
              <w:t>პროექტის ვადად წინა ათწლიან გეგმაში განსაზღვრული იყო 2025 წ, ხოლო 2020-2030 წლების ათწლიან გეგმაში ამ პროექტის დასრულებად განისაზღვრა 2023 წელი.</w:t>
            </w:r>
          </w:p>
          <w:p w:rsidR="00F53161" w:rsidRPr="00F53161" w:rsidRDefault="00F53161" w:rsidP="00F53161">
            <w:pPr>
              <w:spacing w:after="0" w:line="240" w:lineRule="auto"/>
              <w:ind w:left="9" w:hanging="9"/>
              <w:rPr>
                <w:rFonts w:ascii="Sylfaen" w:hAnsi="Sylfaen" w:cs="Sylfaen"/>
                <w:sz w:val="20"/>
                <w:szCs w:val="20"/>
              </w:rPr>
            </w:pPr>
            <w:r w:rsidRPr="00F53161">
              <w:rPr>
                <w:rFonts w:ascii="Sylfaen" w:hAnsi="Sylfaen" w:cs="Sylfaen"/>
                <w:sz w:val="20"/>
                <w:szCs w:val="20"/>
              </w:rPr>
              <w:lastRenderedPageBreak/>
              <w:t>დ. ონის ატ-ს მონტაჟის პროექტი დამოკიდებულია ონის ჰესების კასკადის მშენებლობაზე. გეგმის მიხედვით (ეკონომიკისა და მდგრადი განვითარების სამინისტროს და ონის ჰესების კასკადის წარმომადგენლებთან კომუნიკაციის შესაბამისად) ონი-1-ის პირველი სადგურის დასრულების საპროგნოზო ვადაა 2030 წელი, თუმცა 2023 წლისთვის (მანამდე ვერ მოესწრება საერთაშორისო პროექტების პროცედურების გამო) აშენდება ორჯაჭვა 220 კვ გაბარიტების ხაზი, რომელიც იმუშავებს 110 კვ-ზე და მოემსახურება როგორც რეგიონის მცირე სიმძლავრის სადგურების ქსელში ინტეგრაციას, ასევე გამანაწილებელი ქსელის საიმედოობის ამაღლებას. ამიტომ, ამ ეტაპზე (2029-2030 წლამდე) ზემოთხსენებული ავტოტრანსფორმატორის საჭიროება აღარ არის.</w:t>
            </w:r>
          </w:p>
          <w:p w:rsidR="00D45CFB" w:rsidRPr="00F53161" w:rsidRDefault="00F53161" w:rsidP="00D44918">
            <w:pPr>
              <w:spacing w:after="0" w:line="240" w:lineRule="auto"/>
              <w:ind w:left="9" w:hanging="9"/>
              <w:rPr>
                <w:rFonts w:ascii="Sylfaen" w:hAnsi="Sylfaen" w:cs="Sylfaen"/>
                <w:sz w:val="20"/>
                <w:szCs w:val="20"/>
              </w:rPr>
            </w:pPr>
            <w:r w:rsidRPr="00F53161">
              <w:rPr>
                <w:rFonts w:ascii="Sylfaen" w:hAnsi="Sylfaen" w:cs="Sylfaen"/>
                <w:sz w:val="20"/>
                <w:szCs w:val="20"/>
              </w:rPr>
              <w:t>ე. მოხმარების პროგნოზთან დაკავშირებულ შენიშვ</w:t>
            </w:r>
            <w:r w:rsidRPr="00ED7AA8">
              <w:rPr>
                <w:rFonts w:ascii="Sylfaen" w:hAnsi="Sylfaen" w:cs="Sylfaen"/>
                <w:color w:val="000000" w:themeColor="text1"/>
                <w:sz w:val="20"/>
                <w:szCs w:val="20"/>
              </w:rPr>
              <w:t>ნა</w:t>
            </w:r>
            <w:r w:rsidR="00D44918" w:rsidRPr="00ED7AA8">
              <w:rPr>
                <w:rFonts w:ascii="Sylfaen" w:hAnsi="Sylfaen" w:cs="Sylfaen"/>
                <w:color w:val="000000" w:themeColor="text1"/>
                <w:sz w:val="20"/>
                <w:szCs w:val="20"/>
                <w:lang w:val="ka-GE"/>
              </w:rPr>
              <w:t>ს არ ვეთანხმებით</w:t>
            </w:r>
            <w:r w:rsidR="00D44918" w:rsidRPr="00ED7AA8">
              <w:rPr>
                <w:rFonts w:ascii="Sylfaen" w:hAnsi="Sylfaen" w:cs="Sylfaen"/>
                <w:color w:val="000000" w:themeColor="text1"/>
                <w:sz w:val="20"/>
                <w:szCs w:val="20"/>
              </w:rPr>
              <w:t>, ვინაიდან შესაბამის სექციაში არ იქნა ნაპოვნი ხარვეზები.</w:t>
            </w:r>
          </w:p>
        </w:tc>
      </w:tr>
    </w:tbl>
    <w:p w:rsidR="0025062F" w:rsidRDefault="0025062F" w:rsidP="00E251F5">
      <w:pPr>
        <w:spacing w:line="240" w:lineRule="auto"/>
        <w:rPr>
          <w:rFonts w:ascii="Sylfaen" w:hAnsi="Sylfaen"/>
          <w:sz w:val="20"/>
          <w:szCs w:val="20"/>
          <w:lang w:val="ka-GE"/>
        </w:rPr>
      </w:pPr>
    </w:p>
    <w:p w:rsidR="002F59EE" w:rsidRPr="003262EA" w:rsidRDefault="002F59EE" w:rsidP="00E251F5">
      <w:pPr>
        <w:spacing w:line="240" w:lineRule="auto"/>
        <w:rPr>
          <w:rFonts w:ascii="Sylfaen" w:hAnsi="Sylfaen"/>
          <w:sz w:val="20"/>
          <w:szCs w:val="20"/>
          <w:lang w:val="ka-GE"/>
        </w:rPr>
      </w:pPr>
    </w:p>
    <w:sectPr w:rsidR="002F59EE" w:rsidRPr="003262EA" w:rsidSect="00D45CFB">
      <w:footerReference w:type="default" r:id="rId11"/>
      <w:pgSz w:w="12240" w:h="15840"/>
      <w:pgMar w:top="117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BE9" w:rsidRDefault="00693BE9" w:rsidP="00D20B93">
      <w:pPr>
        <w:spacing w:after="0" w:line="240" w:lineRule="auto"/>
      </w:pPr>
      <w:r>
        <w:separator/>
      </w:r>
    </w:p>
  </w:endnote>
  <w:endnote w:type="continuationSeparator" w:id="0">
    <w:p w:rsidR="00693BE9" w:rsidRDefault="00693BE9" w:rsidP="00D20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668268"/>
      <w:docPartObj>
        <w:docPartGallery w:val="Page Numbers (Bottom of Page)"/>
        <w:docPartUnique/>
      </w:docPartObj>
    </w:sdtPr>
    <w:sdtEndPr>
      <w:rPr>
        <w:noProof/>
      </w:rPr>
    </w:sdtEndPr>
    <w:sdtContent>
      <w:p w:rsidR="00D45CFB" w:rsidRDefault="00D45CFB">
        <w:pPr>
          <w:pStyle w:val="Footer"/>
          <w:jc w:val="right"/>
        </w:pPr>
        <w:r>
          <w:fldChar w:fldCharType="begin"/>
        </w:r>
        <w:r>
          <w:instrText xml:space="preserve"> PAGE   \* MERGEFORMAT </w:instrText>
        </w:r>
        <w:r>
          <w:fldChar w:fldCharType="separate"/>
        </w:r>
        <w:r w:rsidR="00A313C7">
          <w:rPr>
            <w:noProof/>
          </w:rPr>
          <w:t>1</w:t>
        </w:r>
        <w:r>
          <w:rPr>
            <w:noProof/>
          </w:rPr>
          <w:fldChar w:fldCharType="end"/>
        </w:r>
      </w:p>
    </w:sdtContent>
  </w:sdt>
  <w:p w:rsidR="00D45CFB" w:rsidRDefault="00D45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BE9" w:rsidRDefault="00693BE9" w:rsidP="00D20B93">
      <w:pPr>
        <w:spacing w:after="0" w:line="240" w:lineRule="auto"/>
      </w:pPr>
      <w:r>
        <w:separator/>
      </w:r>
    </w:p>
  </w:footnote>
  <w:footnote w:type="continuationSeparator" w:id="0">
    <w:p w:rsidR="00693BE9" w:rsidRDefault="00693BE9" w:rsidP="00D20B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E4A47"/>
    <w:multiLevelType w:val="hybridMultilevel"/>
    <w:tmpl w:val="6F06A7B2"/>
    <w:lvl w:ilvl="0" w:tplc="AC2CB3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7655E0"/>
    <w:multiLevelType w:val="hybridMultilevel"/>
    <w:tmpl w:val="FC6C836A"/>
    <w:lvl w:ilvl="0" w:tplc="979EF4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0081D"/>
    <w:multiLevelType w:val="hybridMultilevel"/>
    <w:tmpl w:val="25FC8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A3CC8"/>
    <w:multiLevelType w:val="hybridMultilevel"/>
    <w:tmpl w:val="CB446EAE"/>
    <w:lvl w:ilvl="0" w:tplc="B6E4E1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B83A90"/>
    <w:multiLevelType w:val="hybridMultilevel"/>
    <w:tmpl w:val="1DB051B2"/>
    <w:lvl w:ilvl="0" w:tplc="701A002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443744"/>
    <w:multiLevelType w:val="hybridMultilevel"/>
    <w:tmpl w:val="B04E2600"/>
    <w:lvl w:ilvl="0" w:tplc="04090013">
      <w:start w:val="1"/>
      <w:numFmt w:val="upp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BAB61D9"/>
    <w:multiLevelType w:val="hybridMultilevel"/>
    <w:tmpl w:val="9CE45C26"/>
    <w:lvl w:ilvl="0" w:tplc="0B064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1C1DB8"/>
    <w:multiLevelType w:val="hybridMultilevel"/>
    <w:tmpl w:val="89C02A1A"/>
    <w:lvl w:ilvl="0" w:tplc="04090013">
      <w:start w:val="1"/>
      <w:numFmt w:val="upp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3DF0B38"/>
    <w:multiLevelType w:val="hybridMultilevel"/>
    <w:tmpl w:val="C4B61038"/>
    <w:lvl w:ilvl="0" w:tplc="3B5EEF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84D0A"/>
    <w:multiLevelType w:val="hybridMultilevel"/>
    <w:tmpl w:val="20D4BD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26494B"/>
    <w:multiLevelType w:val="hybridMultilevel"/>
    <w:tmpl w:val="7E4A628A"/>
    <w:lvl w:ilvl="0" w:tplc="CA8275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17F80"/>
    <w:multiLevelType w:val="hybridMultilevel"/>
    <w:tmpl w:val="27A2F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280B22"/>
    <w:multiLevelType w:val="hybridMultilevel"/>
    <w:tmpl w:val="88409FDA"/>
    <w:lvl w:ilvl="0" w:tplc="5BEA7E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870A67"/>
    <w:multiLevelType w:val="hybridMultilevel"/>
    <w:tmpl w:val="8E76B502"/>
    <w:lvl w:ilvl="0" w:tplc="77601F0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DA6211C"/>
    <w:multiLevelType w:val="hybridMultilevel"/>
    <w:tmpl w:val="CD62A414"/>
    <w:lvl w:ilvl="0" w:tplc="0310E9F4">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16A108F"/>
    <w:multiLevelType w:val="hybridMultilevel"/>
    <w:tmpl w:val="FEC2F220"/>
    <w:lvl w:ilvl="0" w:tplc="F09E665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8993CE3"/>
    <w:multiLevelType w:val="hybridMultilevel"/>
    <w:tmpl w:val="2BB2BD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7121D"/>
    <w:multiLevelType w:val="hybridMultilevel"/>
    <w:tmpl w:val="2B722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6151AF"/>
    <w:multiLevelType w:val="hybridMultilevel"/>
    <w:tmpl w:val="75D83FD0"/>
    <w:lvl w:ilvl="0" w:tplc="07DA8C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E7B524B"/>
    <w:multiLevelType w:val="hybridMultilevel"/>
    <w:tmpl w:val="774E5C60"/>
    <w:lvl w:ilvl="0" w:tplc="04090013">
      <w:start w:val="1"/>
      <w:numFmt w:val="upp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2EEF4E96"/>
    <w:multiLevelType w:val="hybridMultilevel"/>
    <w:tmpl w:val="0FF461C8"/>
    <w:lvl w:ilvl="0" w:tplc="F0C2EFE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552464"/>
    <w:multiLevelType w:val="hybridMultilevel"/>
    <w:tmpl w:val="0AEC409E"/>
    <w:lvl w:ilvl="0" w:tplc="3A068894">
      <w:start w:val="1"/>
      <w:numFmt w:val="upperRoman"/>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2" w15:restartNumberingAfterBreak="0">
    <w:nsid w:val="3334037E"/>
    <w:multiLevelType w:val="hybridMultilevel"/>
    <w:tmpl w:val="5AF2905A"/>
    <w:lvl w:ilvl="0" w:tplc="51626C2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5344BE6"/>
    <w:multiLevelType w:val="hybridMultilevel"/>
    <w:tmpl w:val="D1D6A3CE"/>
    <w:lvl w:ilvl="0" w:tplc="BFE2CE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62DF5"/>
    <w:multiLevelType w:val="hybridMultilevel"/>
    <w:tmpl w:val="9B546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F127D"/>
    <w:multiLevelType w:val="hybridMultilevel"/>
    <w:tmpl w:val="06F05F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53777E"/>
    <w:multiLevelType w:val="hybridMultilevel"/>
    <w:tmpl w:val="9502F66C"/>
    <w:lvl w:ilvl="0" w:tplc="67303D8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39C87CF8"/>
    <w:multiLevelType w:val="hybridMultilevel"/>
    <w:tmpl w:val="454C0596"/>
    <w:lvl w:ilvl="0" w:tplc="C5827F1E">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8" w15:restartNumberingAfterBreak="0">
    <w:nsid w:val="3D397408"/>
    <w:multiLevelType w:val="hybridMultilevel"/>
    <w:tmpl w:val="72C0B7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D9F2F62"/>
    <w:multiLevelType w:val="hybridMultilevel"/>
    <w:tmpl w:val="E92038EE"/>
    <w:lvl w:ilvl="0" w:tplc="7B1A14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B96F3D"/>
    <w:multiLevelType w:val="hybridMultilevel"/>
    <w:tmpl w:val="6188130C"/>
    <w:lvl w:ilvl="0" w:tplc="53E28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2B155F"/>
    <w:multiLevelType w:val="hybridMultilevel"/>
    <w:tmpl w:val="AD44A806"/>
    <w:lvl w:ilvl="0" w:tplc="4B624AB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2" w15:restartNumberingAfterBreak="0">
    <w:nsid w:val="440F29DF"/>
    <w:multiLevelType w:val="hybridMultilevel"/>
    <w:tmpl w:val="95E87580"/>
    <w:lvl w:ilvl="0" w:tplc="4008D6DE">
      <w:start w:val="1"/>
      <w:numFmt w:val="upperRoman"/>
      <w:lvlText w:val="%1."/>
      <w:lvlJc w:val="left"/>
      <w:pPr>
        <w:ind w:left="1080" w:hanging="72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3C6EB1"/>
    <w:multiLevelType w:val="hybridMultilevel"/>
    <w:tmpl w:val="6416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807327"/>
    <w:multiLevelType w:val="hybridMultilevel"/>
    <w:tmpl w:val="8C38CD44"/>
    <w:lvl w:ilvl="0" w:tplc="49526508">
      <w:start w:val="1"/>
      <w:numFmt w:val="upperRoman"/>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1364B7"/>
    <w:multiLevelType w:val="hybridMultilevel"/>
    <w:tmpl w:val="383CC546"/>
    <w:lvl w:ilvl="0" w:tplc="DB2CB33A">
      <w:start w:val="1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6" w15:restartNumberingAfterBreak="0">
    <w:nsid w:val="48146F8C"/>
    <w:multiLevelType w:val="hybridMultilevel"/>
    <w:tmpl w:val="023E5AB4"/>
    <w:lvl w:ilvl="0" w:tplc="452E8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0E299F"/>
    <w:multiLevelType w:val="hybridMultilevel"/>
    <w:tmpl w:val="89BA0CB2"/>
    <w:lvl w:ilvl="0" w:tplc="BCD6E1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DB608EE"/>
    <w:multiLevelType w:val="hybridMultilevel"/>
    <w:tmpl w:val="A8D22C70"/>
    <w:lvl w:ilvl="0" w:tplc="2640B5E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F90B47"/>
    <w:multiLevelType w:val="hybridMultilevel"/>
    <w:tmpl w:val="0B8C4A7E"/>
    <w:lvl w:ilvl="0" w:tplc="E394222A">
      <w:start w:val="1"/>
      <w:numFmt w:val="upperRoman"/>
      <w:lvlText w:val="%1."/>
      <w:lvlJc w:val="left"/>
      <w:pPr>
        <w:ind w:left="1516" w:hanging="72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0" w15:restartNumberingAfterBreak="0">
    <w:nsid w:val="4E5A2659"/>
    <w:multiLevelType w:val="hybridMultilevel"/>
    <w:tmpl w:val="9F7E24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8A39B8"/>
    <w:multiLevelType w:val="hybridMultilevel"/>
    <w:tmpl w:val="58485F44"/>
    <w:lvl w:ilvl="0" w:tplc="C1AEBD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0047040"/>
    <w:multiLevelType w:val="hybridMultilevel"/>
    <w:tmpl w:val="2AB825E2"/>
    <w:lvl w:ilvl="0" w:tplc="0860C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4F2BBF"/>
    <w:multiLevelType w:val="hybridMultilevel"/>
    <w:tmpl w:val="DE68E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5922D7"/>
    <w:multiLevelType w:val="hybridMultilevel"/>
    <w:tmpl w:val="77FECDC6"/>
    <w:lvl w:ilvl="0" w:tplc="AE3E2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0D6B82"/>
    <w:multiLevelType w:val="hybridMultilevel"/>
    <w:tmpl w:val="5CC69EE2"/>
    <w:lvl w:ilvl="0" w:tplc="DA8A7DE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C23DE0"/>
    <w:multiLevelType w:val="hybridMultilevel"/>
    <w:tmpl w:val="D2348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0F1020"/>
    <w:multiLevelType w:val="hybridMultilevel"/>
    <w:tmpl w:val="79289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3730718"/>
    <w:multiLevelType w:val="hybridMultilevel"/>
    <w:tmpl w:val="F5267922"/>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461B5C"/>
    <w:multiLevelType w:val="hybridMultilevel"/>
    <w:tmpl w:val="BA502146"/>
    <w:lvl w:ilvl="0" w:tplc="FA506914">
      <w:start w:val="1"/>
      <w:numFmt w:val="upperRoman"/>
      <w:lvlText w:val="%1."/>
      <w:lvlJc w:val="left"/>
      <w:pPr>
        <w:ind w:left="1426" w:hanging="72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0" w15:restartNumberingAfterBreak="0">
    <w:nsid w:val="647E0C2C"/>
    <w:multiLevelType w:val="hybridMultilevel"/>
    <w:tmpl w:val="C98A3C32"/>
    <w:lvl w:ilvl="0" w:tplc="DFEA8F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BFC5F90"/>
    <w:multiLevelType w:val="hybridMultilevel"/>
    <w:tmpl w:val="28E65286"/>
    <w:lvl w:ilvl="0" w:tplc="398C2B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E516E88"/>
    <w:multiLevelType w:val="hybridMultilevel"/>
    <w:tmpl w:val="F5763294"/>
    <w:lvl w:ilvl="0" w:tplc="18863B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6D1904"/>
    <w:multiLevelType w:val="hybridMultilevel"/>
    <w:tmpl w:val="E4DED7EA"/>
    <w:lvl w:ilvl="0" w:tplc="04090013">
      <w:start w:val="1"/>
      <w:numFmt w:val="upperRoman"/>
      <w:lvlText w:val="%1."/>
      <w:lvlJc w:val="right"/>
      <w:pPr>
        <w:ind w:left="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AF760A"/>
    <w:multiLevelType w:val="hybridMultilevel"/>
    <w:tmpl w:val="195E883E"/>
    <w:lvl w:ilvl="0" w:tplc="3CAAD1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13E1E1D"/>
    <w:multiLevelType w:val="hybridMultilevel"/>
    <w:tmpl w:val="191ED376"/>
    <w:lvl w:ilvl="0" w:tplc="3E6E572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3067CE5"/>
    <w:multiLevelType w:val="hybridMultilevel"/>
    <w:tmpl w:val="6BA8A4A0"/>
    <w:lvl w:ilvl="0" w:tplc="DB38B4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E86CE2"/>
    <w:multiLevelType w:val="hybridMultilevel"/>
    <w:tmpl w:val="A8FE9830"/>
    <w:lvl w:ilvl="0" w:tplc="71EE46C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AD5427"/>
    <w:multiLevelType w:val="hybridMultilevel"/>
    <w:tmpl w:val="7D7EEA40"/>
    <w:lvl w:ilvl="0" w:tplc="CF2C73B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92D128E"/>
    <w:multiLevelType w:val="hybridMultilevel"/>
    <w:tmpl w:val="C3CE3740"/>
    <w:lvl w:ilvl="0" w:tplc="7516430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A665C62"/>
    <w:multiLevelType w:val="hybridMultilevel"/>
    <w:tmpl w:val="03F2941A"/>
    <w:lvl w:ilvl="0" w:tplc="3B5EEF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AE2084C"/>
    <w:multiLevelType w:val="hybridMultilevel"/>
    <w:tmpl w:val="9C388494"/>
    <w:lvl w:ilvl="0" w:tplc="045A53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EC80D9B"/>
    <w:multiLevelType w:val="hybridMultilevel"/>
    <w:tmpl w:val="A622F8DC"/>
    <w:lvl w:ilvl="0" w:tplc="D35AB3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F9378B6"/>
    <w:multiLevelType w:val="hybridMultilevel"/>
    <w:tmpl w:val="098A4598"/>
    <w:lvl w:ilvl="0" w:tplc="EC52A02A">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7"/>
  </w:num>
  <w:num w:numId="2">
    <w:abstractNumId w:val="31"/>
  </w:num>
  <w:num w:numId="3">
    <w:abstractNumId w:val="11"/>
  </w:num>
  <w:num w:numId="4">
    <w:abstractNumId w:val="63"/>
  </w:num>
  <w:num w:numId="5">
    <w:abstractNumId w:val="61"/>
  </w:num>
  <w:num w:numId="6">
    <w:abstractNumId w:val="38"/>
  </w:num>
  <w:num w:numId="7">
    <w:abstractNumId w:val="48"/>
  </w:num>
  <w:num w:numId="8">
    <w:abstractNumId w:val="46"/>
  </w:num>
  <w:num w:numId="9">
    <w:abstractNumId w:val="26"/>
  </w:num>
  <w:num w:numId="10">
    <w:abstractNumId w:val="39"/>
  </w:num>
  <w:num w:numId="11">
    <w:abstractNumId w:val="34"/>
  </w:num>
  <w:num w:numId="12">
    <w:abstractNumId w:val="49"/>
  </w:num>
  <w:num w:numId="13">
    <w:abstractNumId w:val="52"/>
  </w:num>
  <w:num w:numId="14">
    <w:abstractNumId w:val="18"/>
  </w:num>
  <w:num w:numId="15">
    <w:abstractNumId w:val="60"/>
  </w:num>
  <w:num w:numId="16">
    <w:abstractNumId w:val="8"/>
  </w:num>
  <w:num w:numId="17">
    <w:abstractNumId w:val="53"/>
  </w:num>
  <w:num w:numId="18">
    <w:abstractNumId w:val="24"/>
  </w:num>
  <w:num w:numId="19">
    <w:abstractNumId w:val="40"/>
  </w:num>
  <w:num w:numId="20">
    <w:abstractNumId w:val="5"/>
  </w:num>
  <w:num w:numId="21">
    <w:abstractNumId w:val="16"/>
  </w:num>
  <w:num w:numId="22">
    <w:abstractNumId w:val="7"/>
  </w:num>
  <w:num w:numId="23">
    <w:abstractNumId w:val="25"/>
  </w:num>
  <w:num w:numId="24">
    <w:abstractNumId w:val="19"/>
  </w:num>
  <w:num w:numId="25">
    <w:abstractNumId w:val="44"/>
  </w:num>
  <w:num w:numId="26">
    <w:abstractNumId w:val="59"/>
  </w:num>
  <w:num w:numId="27">
    <w:abstractNumId w:val="42"/>
  </w:num>
  <w:num w:numId="28">
    <w:abstractNumId w:val="10"/>
  </w:num>
  <w:num w:numId="29">
    <w:abstractNumId w:val="29"/>
  </w:num>
  <w:num w:numId="30">
    <w:abstractNumId w:val="23"/>
  </w:num>
  <w:num w:numId="31">
    <w:abstractNumId w:val="9"/>
  </w:num>
  <w:num w:numId="32">
    <w:abstractNumId w:val="15"/>
  </w:num>
  <w:num w:numId="33">
    <w:abstractNumId w:val="50"/>
  </w:num>
  <w:num w:numId="34">
    <w:abstractNumId w:val="58"/>
  </w:num>
  <w:num w:numId="35">
    <w:abstractNumId w:val="22"/>
  </w:num>
  <w:num w:numId="36">
    <w:abstractNumId w:val="41"/>
  </w:num>
  <w:num w:numId="37">
    <w:abstractNumId w:val="13"/>
  </w:num>
  <w:num w:numId="38">
    <w:abstractNumId w:val="20"/>
  </w:num>
  <w:num w:numId="39">
    <w:abstractNumId w:val="62"/>
  </w:num>
  <w:num w:numId="40">
    <w:abstractNumId w:val="51"/>
  </w:num>
  <w:num w:numId="41">
    <w:abstractNumId w:val="55"/>
  </w:num>
  <w:num w:numId="42">
    <w:abstractNumId w:val="3"/>
  </w:num>
  <w:num w:numId="43">
    <w:abstractNumId w:val="54"/>
  </w:num>
  <w:num w:numId="44">
    <w:abstractNumId w:val="37"/>
  </w:num>
  <w:num w:numId="45">
    <w:abstractNumId w:val="56"/>
  </w:num>
  <w:num w:numId="46">
    <w:abstractNumId w:val="21"/>
  </w:num>
  <w:num w:numId="47">
    <w:abstractNumId w:val="14"/>
  </w:num>
  <w:num w:numId="48">
    <w:abstractNumId w:val="36"/>
  </w:num>
  <w:num w:numId="49">
    <w:abstractNumId w:val="6"/>
  </w:num>
  <w:num w:numId="50">
    <w:abstractNumId w:val="30"/>
  </w:num>
  <w:num w:numId="51">
    <w:abstractNumId w:val="0"/>
  </w:num>
  <w:num w:numId="52">
    <w:abstractNumId w:val="4"/>
  </w:num>
  <w:num w:numId="53">
    <w:abstractNumId w:val="45"/>
  </w:num>
  <w:num w:numId="54">
    <w:abstractNumId w:val="12"/>
  </w:num>
  <w:num w:numId="55">
    <w:abstractNumId w:val="1"/>
  </w:num>
  <w:num w:numId="56">
    <w:abstractNumId w:val="32"/>
  </w:num>
  <w:num w:numId="57">
    <w:abstractNumId w:val="57"/>
  </w:num>
  <w:num w:numId="58">
    <w:abstractNumId w:val="35"/>
  </w:num>
  <w:num w:numId="59">
    <w:abstractNumId w:val="28"/>
  </w:num>
  <w:num w:numId="60">
    <w:abstractNumId w:val="2"/>
  </w:num>
  <w:num w:numId="61">
    <w:abstractNumId w:val="47"/>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 w:numId="64">
    <w:abstractNumId w:val="43"/>
  </w:num>
  <w:num w:numId="65">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FDF"/>
    <w:rsid w:val="00003B07"/>
    <w:rsid w:val="00021ED1"/>
    <w:rsid w:val="000502AB"/>
    <w:rsid w:val="000A1741"/>
    <w:rsid w:val="000A7C19"/>
    <w:rsid w:val="000B5BDD"/>
    <w:rsid w:val="000C4112"/>
    <w:rsid w:val="000C51AB"/>
    <w:rsid w:val="000C5628"/>
    <w:rsid w:val="000F103A"/>
    <w:rsid w:val="000F56C9"/>
    <w:rsid w:val="000F590F"/>
    <w:rsid w:val="001076E4"/>
    <w:rsid w:val="00120E04"/>
    <w:rsid w:val="00145E2F"/>
    <w:rsid w:val="00157216"/>
    <w:rsid w:val="00161EC7"/>
    <w:rsid w:val="00162274"/>
    <w:rsid w:val="00164B06"/>
    <w:rsid w:val="00176050"/>
    <w:rsid w:val="0019129A"/>
    <w:rsid w:val="001B2D74"/>
    <w:rsid w:val="001C4355"/>
    <w:rsid w:val="001E7D65"/>
    <w:rsid w:val="002057E1"/>
    <w:rsid w:val="0021169D"/>
    <w:rsid w:val="0025062F"/>
    <w:rsid w:val="002568A0"/>
    <w:rsid w:val="00263398"/>
    <w:rsid w:val="002655FC"/>
    <w:rsid w:val="0026777C"/>
    <w:rsid w:val="00296D94"/>
    <w:rsid w:val="002C21DC"/>
    <w:rsid w:val="002C3A6F"/>
    <w:rsid w:val="002E5A49"/>
    <w:rsid w:val="002F59EE"/>
    <w:rsid w:val="0030114E"/>
    <w:rsid w:val="00303827"/>
    <w:rsid w:val="00303A01"/>
    <w:rsid w:val="003262EA"/>
    <w:rsid w:val="0035509B"/>
    <w:rsid w:val="0035587E"/>
    <w:rsid w:val="00364B04"/>
    <w:rsid w:val="00396ABE"/>
    <w:rsid w:val="003A6171"/>
    <w:rsid w:val="003C70B4"/>
    <w:rsid w:val="003E24F2"/>
    <w:rsid w:val="003E4E10"/>
    <w:rsid w:val="00415669"/>
    <w:rsid w:val="004174EC"/>
    <w:rsid w:val="00422408"/>
    <w:rsid w:val="00431FC5"/>
    <w:rsid w:val="00433FBF"/>
    <w:rsid w:val="0044563F"/>
    <w:rsid w:val="004566FD"/>
    <w:rsid w:val="00457D8A"/>
    <w:rsid w:val="0046480B"/>
    <w:rsid w:val="00482271"/>
    <w:rsid w:val="004A2970"/>
    <w:rsid w:val="004B61B6"/>
    <w:rsid w:val="004E62D5"/>
    <w:rsid w:val="004E7857"/>
    <w:rsid w:val="004F1EC0"/>
    <w:rsid w:val="004F34A3"/>
    <w:rsid w:val="00500B38"/>
    <w:rsid w:val="00515F79"/>
    <w:rsid w:val="005160CB"/>
    <w:rsid w:val="00530E35"/>
    <w:rsid w:val="00547B3C"/>
    <w:rsid w:val="005512CA"/>
    <w:rsid w:val="00562A1A"/>
    <w:rsid w:val="00580F0E"/>
    <w:rsid w:val="005A3C6A"/>
    <w:rsid w:val="005C7138"/>
    <w:rsid w:val="005C7CDD"/>
    <w:rsid w:val="005F59B2"/>
    <w:rsid w:val="0061794A"/>
    <w:rsid w:val="00631701"/>
    <w:rsid w:val="00651C4E"/>
    <w:rsid w:val="006779BF"/>
    <w:rsid w:val="00693BE9"/>
    <w:rsid w:val="006A76CC"/>
    <w:rsid w:val="006C0B6A"/>
    <w:rsid w:val="006C1196"/>
    <w:rsid w:val="006E1030"/>
    <w:rsid w:val="006E65C4"/>
    <w:rsid w:val="006E7C61"/>
    <w:rsid w:val="006F2E7E"/>
    <w:rsid w:val="006F3420"/>
    <w:rsid w:val="00700AFA"/>
    <w:rsid w:val="00710BE2"/>
    <w:rsid w:val="00725737"/>
    <w:rsid w:val="007271F6"/>
    <w:rsid w:val="00730577"/>
    <w:rsid w:val="007415F2"/>
    <w:rsid w:val="00772B65"/>
    <w:rsid w:val="007A3AE2"/>
    <w:rsid w:val="007B07FE"/>
    <w:rsid w:val="007B46EE"/>
    <w:rsid w:val="007C1777"/>
    <w:rsid w:val="007C2816"/>
    <w:rsid w:val="007D068D"/>
    <w:rsid w:val="007F1CC4"/>
    <w:rsid w:val="008248A7"/>
    <w:rsid w:val="00824E19"/>
    <w:rsid w:val="00831F05"/>
    <w:rsid w:val="0084134F"/>
    <w:rsid w:val="00845573"/>
    <w:rsid w:val="00854891"/>
    <w:rsid w:val="00866124"/>
    <w:rsid w:val="008775B4"/>
    <w:rsid w:val="008D0773"/>
    <w:rsid w:val="008E2692"/>
    <w:rsid w:val="00917319"/>
    <w:rsid w:val="00925A54"/>
    <w:rsid w:val="00931A8E"/>
    <w:rsid w:val="0094231C"/>
    <w:rsid w:val="009664B9"/>
    <w:rsid w:val="0097717D"/>
    <w:rsid w:val="00984899"/>
    <w:rsid w:val="009A4310"/>
    <w:rsid w:val="009C6AB8"/>
    <w:rsid w:val="009C75B5"/>
    <w:rsid w:val="009D4944"/>
    <w:rsid w:val="009D6140"/>
    <w:rsid w:val="009F1346"/>
    <w:rsid w:val="00A22CE6"/>
    <w:rsid w:val="00A313C7"/>
    <w:rsid w:val="00A330DB"/>
    <w:rsid w:val="00A35334"/>
    <w:rsid w:val="00A3773F"/>
    <w:rsid w:val="00A4501C"/>
    <w:rsid w:val="00A74C5C"/>
    <w:rsid w:val="00A8167B"/>
    <w:rsid w:val="00A96C94"/>
    <w:rsid w:val="00AB04C5"/>
    <w:rsid w:val="00B228FC"/>
    <w:rsid w:val="00B30179"/>
    <w:rsid w:val="00B304C6"/>
    <w:rsid w:val="00B37363"/>
    <w:rsid w:val="00B4188E"/>
    <w:rsid w:val="00B44C5B"/>
    <w:rsid w:val="00B45578"/>
    <w:rsid w:val="00B50CF0"/>
    <w:rsid w:val="00B63B2B"/>
    <w:rsid w:val="00B65A13"/>
    <w:rsid w:val="00B71718"/>
    <w:rsid w:val="00BA2F8E"/>
    <w:rsid w:val="00BB0257"/>
    <w:rsid w:val="00BB3903"/>
    <w:rsid w:val="00BD3074"/>
    <w:rsid w:val="00BD58F3"/>
    <w:rsid w:val="00BE29B4"/>
    <w:rsid w:val="00BE5FDF"/>
    <w:rsid w:val="00BF1D0C"/>
    <w:rsid w:val="00C04102"/>
    <w:rsid w:val="00C25DE0"/>
    <w:rsid w:val="00C36C45"/>
    <w:rsid w:val="00C51216"/>
    <w:rsid w:val="00C73423"/>
    <w:rsid w:val="00C83726"/>
    <w:rsid w:val="00C86EF0"/>
    <w:rsid w:val="00C87DF5"/>
    <w:rsid w:val="00C97D39"/>
    <w:rsid w:val="00CA3315"/>
    <w:rsid w:val="00CC03D0"/>
    <w:rsid w:val="00CE5145"/>
    <w:rsid w:val="00CF118B"/>
    <w:rsid w:val="00CF35D4"/>
    <w:rsid w:val="00D02989"/>
    <w:rsid w:val="00D03485"/>
    <w:rsid w:val="00D14E41"/>
    <w:rsid w:val="00D20B93"/>
    <w:rsid w:val="00D44918"/>
    <w:rsid w:val="00D45CFB"/>
    <w:rsid w:val="00D563CE"/>
    <w:rsid w:val="00D74AC8"/>
    <w:rsid w:val="00D85B3C"/>
    <w:rsid w:val="00D8612A"/>
    <w:rsid w:val="00D940D2"/>
    <w:rsid w:val="00DB1115"/>
    <w:rsid w:val="00DC1C92"/>
    <w:rsid w:val="00E0534E"/>
    <w:rsid w:val="00E05918"/>
    <w:rsid w:val="00E251F5"/>
    <w:rsid w:val="00E2573E"/>
    <w:rsid w:val="00E57447"/>
    <w:rsid w:val="00E73346"/>
    <w:rsid w:val="00E73BB9"/>
    <w:rsid w:val="00E73DE0"/>
    <w:rsid w:val="00EB78F5"/>
    <w:rsid w:val="00EC6024"/>
    <w:rsid w:val="00ED09AB"/>
    <w:rsid w:val="00ED5E1D"/>
    <w:rsid w:val="00ED7AA8"/>
    <w:rsid w:val="00EF5D59"/>
    <w:rsid w:val="00F47E5E"/>
    <w:rsid w:val="00F51D2E"/>
    <w:rsid w:val="00F53161"/>
    <w:rsid w:val="00F93C2A"/>
    <w:rsid w:val="00FA150E"/>
    <w:rsid w:val="00FA3CB1"/>
    <w:rsid w:val="00FB327A"/>
    <w:rsid w:val="00FD065E"/>
    <w:rsid w:val="00FD7708"/>
    <w:rsid w:val="00FE04B9"/>
    <w:rsid w:val="00FE43D0"/>
    <w:rsid w:val="00FF34DA"/>
    <w:rsid w:val="00FF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8BF8BF-8473-46AC-8E7E-0474B45C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F8E"/>
    <w:pPr>
      <w:spacing w:after="200" w:line="276" w:lineRule="auto"/>
    </w:pPr>
  </w:style>
  <w:style w:type="paragraph" w:styleId="Heading2">
    <w:name w:val="heading 2"/>
    <w:basedOn w:val="Normal"/>
    <w:next w:val="Normal"/>
    <w:link w:val="Heading2Char"/>
    <w:uiPriority w:val="9"/>
    <w:unhideWhenUsed/>
    <w:qFormat/>
    <w:rsid w:val="00FF34DA"/>
    <w:pPr>
      <w:keepNext/>
      <w:keepLines/>
      <w:spacing w:before="200" w:after="0"/>
      <w:jc w:val="both"/>
      <w:outlineLvl w:val="1"/>
    </w:pPr>
    <w:rPr>
      <w:rFonts w:asciiTheme="majorHAnsi" w:eastAsiaTheme="majorEastAsia" w:hAnsiTheme="majorHAnsi" w:cstheme="majorBidi"/>
      <w:b/>
      <w:bCs/>
      <w:color w:val="44546A" w:themeColor="tex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F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2F8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ListParagraph">
    <w:name w:val="List Paragraph"/>
    <w:basedOn w:val="Normal"/>
    <w:link w:val="ListParagraphChar"/>
    <w:uiPriority w:val="34"/>
    <w:qFormat/>
    <w:rsid w:val="006E1030"/>
    <w:pPr>
      <w:ind w:left="720"/>
      <w:contextualSpacing/>
    </w:pPr>
    <w:rPr>
      <w:rFonts w:eastAsiaTheme="minorEastAsia" w:cs="Times New Roman"/>
      <w:lang w:val="ru-RU"/>
    </w:rPr>
  </w:style>
  <w:style w:type="character" w:customStyle="1" w:styleId="ListParagraphChar">
    <w:name w:val="List Paragraph Char"/>
    <w:basedOn w:val="DefaultParagraphFont"/>
    <w:link w:val="ListParagraph"/>
    <w:uiPriority w:val="34"/>
    <w:rsid w:val="006E1030"/>
    <w:rPr>
      <w:rFonts w:eastAsiaTheme="minorEastAsia" w:cs="Times New Roman"/>
      <w:lang w:val="ru-RU"/>
    </w:rPr>
  </w:style>
  <w:style w:type="character" w:customStyle="1" w:styleId="Heading2Char">
    <w:name w:val="Heading 2 Char"/>
    <w:basedOn w:val="DefaultParagraphFont"/>
    <w:link w:val="Heading2"/>
    <w:uiPriority w:val="9"/>
    <w:rsid w:val="00FF34DA"/>
    <w:rPr>
      <w:rFonts w:asciiTheme="majorHAnsi" w:eastAsiaTheme="majorEastAsia" w:hAnsiTheme="majorHAnsi" w:cstheme="majorBidi"/>
      <w:b/>
      <w:bCs/>
      <w:color w:val="44546A" w:themeColor="text2"/>
      <w:sz w:val="26"/>
      <w:szCs w:val="26"/>
    </w:rPr>
  </w:style>
  <w:style w:type="paragraph" w:styleId="BalloonText">
    <w:name w:val="Balloon Text"/>
    <w:basedOn w:val="Normal"/>
    <w:link w:val="BalloonTextChar"/>
    <w:uiPriority w:val="99"/>
    <w:semiHidden/>
    <w:unhideWhenUsed/>
    <w:rsid w:val="00D20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B93"/>
    <w:rPr>
      <w:rFonts w:ascii="Segoe UI" w:hAnsi="Segoe UI" w:cs="Segoe UI"/>
      <w:sz w:val="18"/>
      <w:szCs w:val="18"/>
    </w:rPr>
  </w:style>
  <w:style w:type="paragraph" w:styleId="Header">
    <w:name w:val="header"/>
    <w:basedOn w:val="Normal"/>
    <w:link w:val="HeaderChar"/>
    <w:uiPriority w:val="99"/>
    <w:unhideWhenUsed/>
    <w:rsid w:val="00D20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B93"/>
  </w:style>
  <w:style w:type="paragraph" w:styleId="Footer">
    <w:name w:val="footer"/>
    <w:basedOn w:val="Normal"/>
    <w:link w:val="FooterChar"/>
    <w:uiPriority w:val="99"/>
    <w:unhideWhenUsed/>
    <w:rsid w:val="00D20B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B93"/>
  </w:style>
  <w:style w:type="character" w:styleId="CommentReference">
    <w:name w:val="annotation reference"/>
    <w:basedOn w:val="DefaultParagraphFont"/>
    <w:uiPriority w:val="99"/>
    <w:semiHidden/>
    <w:unhideWhenUsed/>
    <w:rsid w:val="00D563CE"/>
    <w:rPr>
      <w:sz w:val="16"/>
      <w:szCs w:val="16"/>
    </w:rPr>
  </w:style>
  <w:style w:type="paragraph" w:styleId="CommentText">
    <w:name w:val="annotation text"/>
    <w:basedOn w:val="Normal"/>
    <w:link w:val="CommentTextChar"/>
    <w:uiPriority w:val="99"/>
    <w:unhideWhenUsed/>
    <w:rsid w:val="00D563CE"/>
    <w:pPr>
      <w:spacing w:after="160" w:line="240" w:lineRule="auto"/>
    </w:pPr>
    <w:rPr>
      <w:sz w:val="20"/>
      <w:szCs w:val="20"/>
    </w:rPr>
  </w:style>
  <w:style w:type="character" w:customStyle="1" w:styleId="CommentTextChar">
    <w:name w:val="Comment Text Char"/>
    <w:basedOn w:val="DefaultParagraphFont"/>
    <w:link w:val="CommentText"/>
    <w:uiPriority w:val="99"/>
    <w:rsid w:val="00D563CE"/>
    <w:rPr>
      <w:sz w:val="20"/>
      <w:szCs w:val="20"/>
    </w:rPr>
  </w:style>
  <w:style w:type="paragraph" w:customStyle="1" w:styleId="Default">
    <w:name w:val="Default"/>
    <w:rsid w:val="00145E2F"/>
    <w:pPr>
      <w:widowControl w:val="0"/>
      <w:autoSpaceDE w:val="0"/>
      <w:autoSpaceDN w:val="0"/>
      <w:adjustRightInd w:val="0"/>
      <w:spacing w:after="0" w:line="240" w:lineRule="auto"/>
    </w:pPr>
    <w:rPr>
      <w:rFonts w:ascii="Sylfaen" w:eastAsiaTheme="minorEastAsia" w:hAnsi="Sylfaen" w:cs="Sylfaen"/>
      <w:color w:val="000000"/>
      <w:sz w:val="24"/>
      <w:szCs w:val="24"/>
    </w:rPr>
  </w:style>
  <w:style w:type="paragraph" w:customStyle="1" w:styleId="CM12">
    <w:name w:val="CM12"/>
    <w:basedOn w:val="Default"/>
    <w:next w:val="Default"/>
    <w:uiPriority w:val="99"/>
    <w:rsid w:val="00D45CFB"/>
    <w:pPr>
      <w:spacing w:line="323" w:lineRule="atLeast"/>
    </w:pPr>
    <w:rPr>
      <w:rFonts w:cstheme="minorBidi"/>
      <w:color w:val="auto"/>
    </w:rPr>
  </w:style>
  <w:style w:type="character" w:styleId="Hyperlink">
    <w:name w:val="Hyperlink"/>
    <w:basedOn w:val="DefaultParagraphFont"/>
    <w:uiPriority w:val="99"/>
    <w:unhideWhenUsed/>
    <w:rsid w:val="007D06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1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ftp/arxiv/papers/1206/1206.6808.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ur-lex.europa.eu/legal-content/EN/TXT/PDF/?uri=CELEX:32017R1485&amp;from=EN" TargetMode="External"/><Relationship Id="rId4" Type="http://schemas.openxmlformats.org/officeDocument/2006/relationships/settings" Target="settings.xml"/><Relationship Id="rId9" Type="http://schemas.openxmlformats.org/officeDocument/2006/relationships/hyperlink" Target="https://docstore.entsoe.eu/major-projects/ten-year-network-development-plan/CBA-Methodology/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D4E1F-A5B6-4F17-8108-4FFDA285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3514</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Ramaz Razmadze</dc:creator>
  <cp:keywords/>
  <dc:description/>
  <cp:lastModifiedBy>Merab Japaridze</cp:lastModifiedBy>
  <cp:revision>2</cp:revision>
  <dcterms:created xsi:type="dcterms:W3CDTF">2020-02-27T08:42:00Z</dcterms:created>
  <dcterms:modified xsi:type="dcterms:W3CDTF">2020-02-27T08:42:00Z</dcterms:modified>
</cp:coreProperties>
</file>